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9B94" w14:textId="061FE36F" w:rsidR="00A4723C" w:rsidRPr="00183F8B" w:rsidRDefault="00A4723C" w:rsidP="00854686">
      <w:pPr>
        <w:pStyle w:val="Footer"/>
        <w:bidi/>
        <w:jc w:val="center"/>
        <w:rPr>
          <w:rFonts w:ascii="Calibri" w:eastAsia="Calibri" w:hAnsi="Calibri" w:cs="B Mitra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183F8B">
        <w:rPr>
          <w:rFonts w:ascii="Calibri" w:eastAsia="Calibri" w:hAnsi="Calibri" w:cs="B Mitra" w:hint="cs"/>
          <w:b/>
          <w:bCs/>
          <w:color w:val="000000"/>
          <w:sz w:val="28"/>
          <w:szCs w:val="28"/>
          <w:rtl/>
        </w:rPr>
        <w:t>پیوست(</w:t>
      </w:r>
      <w:r w:rsidR="00854686" w:rsidRPr="00183F8B">
        <w:rPr>
          <w:rFonts w:ascii="Calibri" w:eastAsia="Calibri" w:hAnsi="Calibri" w:cs="B Mitra" w:hint="cs"/>
          <w:b/>
          <w:bCs/>
          <w:color w:val="000000"/>
          <w:sz w:val="28"/>
          <w:szCs w:val="28"/>
          <w:rtl/>
        </w:rPr>
        <w:t>6</w:t>
      </w:r>
      <w:r w:rsidRPr="00183F8B">
        <w:rPr>
          <w:rFonts w:ascii="Calibri" w:eastAsia="Calibri" w:hAnsi="Calibri" w:cs="B Mitra" w:hint="cs"/>
          <w:b/>
          <w:bCs/>
          <w:color w:val="000000"/>
          <w:sz w:val="28"/>
          <w:szCs w:val="28"/>
          <w:rtl/>
        </w:rPr>
        <w:t>) -فایل اطلاعات پشتیبانی مقاله</w:t>
      </w:r>
    </w:p>
    <w:p w14:paraId="0AE8E6BA" w14:textId="1EA42893" w:rsidR="007C738F" w:rsidRPr="00183F8B" w:rsidRDefault="00A05B8C" w:rsidP="00313B7B">
      <w:pPr>
        <w:pStyle w:val="Footer"/>
        <w:bidi/>
        <w:jc w:val="center"/>
        <w:rPr>
          <w:rFonts w:ascii="Italic" w:eastAsia="Times New Roman" w:hAnsi="Italic" w:cs="B Zar"/>
          <w:b/>
          <w:bCs/>
          <w:sz w:val="26"/>
          <w:szCs w:val="24"/>
          <w:rtl/>
        </w:rPr>
      </w:pPr>
      <w:r w:rsidRPr="00183F8B">
        <w:rPr>
          <w:rFonts w:ascii="Italic" w:eastAsia="Times New Roman" w:hAnsi="Italic" w:cs="B Zar" w:hint="cs"/>
          <w:b/>
          <w:bCs/>
          <w:sz w:val="26"/>
          <w:szCs w:val="24"/>
          <w:rtl/>
        </w:rPr>
        <w:t xml:space="preserve">بررسی گزینه های مختلف از لحاظ فنی و زیست محیطی </w:t>
      </w:r>
      <w:r w:rsidR="00313B7B" w:rsidRPr="00183F8B">
        <w:rPr>
          <w:rFonts w:ascii="Italic" w:eastAsia="Times New Roman" w:hAnsi="Italic" w:cs="B Zar" w:hint="cs"/>
          <w:b/>
          <w:bCs/>
          <w:sz w:val="26"/>
          <w:szCs w:val="24"/>
          <w:rtl/>
        </w:rPr>
        <w:t xml:space="preserve">برای طرح توسعه سامانه نمک زدایی مورد مطالعه </w:t>
      </w:r>
    </w:p>
    <w:p w14:paraId="69C3C0FC" w14:textId="3D031EA1" w:rsidR="0001148A" w:rsidRPr="00183F8B" w:rsidRDefault="0001148A" w:rsidP="007A6FB5">
      <w:pPr>
        <w:bidi/>
        <w:spacing w:line="360" w:lineRule="auto"/>
        <w:jc w:val="lowKashida"/>
        <w:rPr>
          <w:rFonts w:cs="B Nazanin"/>
          <w:sz w:val="24"/>
          <w:szCs w:val="24"/>
          <w:lang w:bidi="fa-IR"/>
        </w:rPr>
      </w:pPr>
      <w:r w:rsidRPr="00183F8B">
        <w:rPr>
          <w:rFonts w:cs="B Nazanin" w:hint="cs"/>
          <w:sz w:val="24"/>
          <w:szCs w:val="24"/>
          <w:rtl/>
          <w:lang w:bidi="fa-IR"/>
        </w:rPr>
        <w:t xml:space="preserve">با توجه به ظرفیت موجود سامانه نمک زدایی آب </w:t>
      </w:r>
      <w:r w:rsidR="006125C1" w:rsidRPr="00183F8B">
        <w:rPr>
          <w:rFonts w:cs="B Nazanin" w:hint="cs"/>
          <w:sz w:val="24"/>
          <w:szCs w:val="24"/>
          <w:rtl/>
          <w:lang w:bidi="fa-IR"/>
        </w:rPr>
        <w:t>مورد مطالعه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به ظرفیت </w:t>
      </w:r>
      <w:r w:rsidRPr="00183F8B">
        <w:rPr>
          <w:rFonts w:cs="B Nazanin"/>
          <w:sz w:val="24"/>
          <w:szCs w:val="24"/>
          <w:lang w:bidi="fa-IR"/>
        </w:rPr>
        <w:t xml:space="preserve"> 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A6FB5">
        <w:rPr>
          <w:rFonts w:asciiTheme="majorBidi" w:hAnsiTheme="majorBidi" w:cstheme="majorBidi"/>
          <w:sz w:val="20"/>
          <w:szCs w:val="20"/>
          <w:lang w:bidi="fa-IR"/>
        </w:rPr>
        <w:t>m</w:t>
      </w:r>
      <w:r w:rsidRPr="007A6FB5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3</w:t>
      </w:r>
      <w:r w:rsidRPr="007A6FB5">
        <w:rPr>
          <w:rFonts w:asciiTheme="majorBidi" w:hAnsiTheme="majorBidi" w:cstheme="majorBidi"/>
          <w:sz w:val="20"/>
          <w:szCs w:val="20"/>
          <w:lang w:bidi="fa-IR"/>
        </w:rPr>
        <w:t>/d</w:t>
      </w:r>
      <w:r w:rsidR="00854686" w:rsidRPr="00183F8B">
        <w:rPr>
          <w:rFonts w:cs="B Nazanin" w:hint="cs"/>
          <w:sz w:val="24"/>
          <w:szCs w:val="24"/>
          <w:rtl/>
          <w:lang w:bidi="fa-IR"/>
        </w:rPr>
        <w:t xml:space="preserve"> 5000 و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ظرفیت فاز توسعه با</w:t>
      </w:r>
      <w:r w:rsidR="00854686" w:rsidRPr="00183F8B">
        <w:rPr>
          <w:rFonts w:cs="B Nazanin" w:hint="cs"/>
          <w:sz w:val="24"/>
          <w:szCs w:val="24"/>
          <w:rtl/>
          <w:lang w:bidi="fa-IR"/>
        </w:rPr>
        <w:t xml:space="preserve"> لحاظ نیازهای آب در منطقه برای 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سناریوی </w:t>
      </w:r>
      <w:r w:rsidR="007A6FB5" w:rsidRPr="007A6FB5">
        <w:rPr>
          <w:rFonts w:asciiTheme="majorBidi" w:hAnsiTheme="majorBidi" w:cstheme="majorBidi"/>
          <w:sz w:val="20"/>
          <w:szCs w:val="20"/>
          <w:lang w:bidi="fa-IR"/>
        </w:rPr>
        <w:t>m</w:t>
      </w:r>
      <w:r w:rsidR="007A6FB5" w:rsidRPr="007A6FB5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3</w:t>
      </w:r>
      <w:r w:rsidR="007A6FB5" w:rsidRPr="007A6FB5">
        <w:rPr>
          <w:rFonts w:asciiTheme="majorBidi" w:hAnsiTheme="majorBidi" w:cstheme="majorBidi"/>
          <w:sz w:val="20"/>
          <w:szCs w:val="20"/>
          <w:lang w:bidi="fa-IR"/>
        </w:rPr>
        <w:t>/d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20000 </w:t>
      </w:r>
      <w:r w:rsidR="00854686" w:rsidRPr="00183F8B">
        <w:rPr>
          <w:rFonts w:cs="B Nazanin" w:hint="cs"/>
          <w:sz w:val="24"/>
          <w:szCs w:val="24"/>
          <w:rtl/>
          <w:lang w:bidi="fa-IR"/>
        </w:rPr>
        <w:t xml:space="preserve"> با حفظ ظرفیت موجود تامین آب شرب، 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به ترتیب  با هدفگذاری برای مصارف صنعتی </w:t>
      </w:r>
      <w:r w:rsidR="00854686" w:rsidRPr="00183F8B">
        <w:rPr>
          <w:rFonts w:cs="B Nazanin" w:hint="cs"/>
          <w:sz w:val="24"/>
          <w:szCs w:val="24"/>
          <w:rtl/>
          <w:lang w:bidi="fa-IR"/>
        </w:rPr>
        <w:t xml:space="preserve">و در صورت داشتن متقاضی برای آبیاری محصولات کشاورزی 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در نظر گرفته </w:t>
      </w:r>
      <w:r w:rsidR="00947AB0" w:rsidRPr="00183F8B">
        <w:rPr>
          <w:rFonts w:cs="B Nazanin" w:hint="cs"/>
          <w:sz w:val="24"/>
          <w:szCs w:val="24"/>
          <w:rtl/>
          <w:lang w:bidi="fa-IR"/>
        </w:rPr>
        <w:t>شده است که به صورت فرآیندهای ذیل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 پیشنهاد می گردد:</w:t>
      </w:r>
    </w:p>
    <w:p w14:paraId="6F1A54E7" w14:textId="1A032F26" w:rsidR="00C26532" w:rsidRPr="00183F8B" w:rsidRDefault="0001148A" w:rsidP="003A6A1A">
      <w:pPr>
        <w:bidi/>
        <w:spacing w:line="360" w:lineRule="auto"/>
        <w:jc w:val="lowKashida"/>
        <w:rPr>
          <w:rFonts w:cs="B Nazanin"/>
          <w:sz w:val="24"/>
          <w:szCs w:val="24"/>
          <w:lang w:bidi="fa-IR"/>
        </w:rPr>
      </w:pPr>
      <w:r w:rsidRPr="003A6A1A">
        <w:rPr>
          <w:rFonts w:cs="B Nazanin" w:hint="cs"/>
          <w:b/>
          <w:bCs/>
          <w:sz w:val="20"/>
          <w:szCs w:val="20"/>
          <w:rtl/>
          <w:lang w:bidi="fa-IR"/>
        </w:rPr>
        <w:t>گزینه اول</w:t>
      </w:r>
      <w:r w:rsidR="003A6A1A" w:rsidRPr="003A6A1A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3A6A1A">
        <w:rPr>
          <w:rFonts w:cs="B Nazanin" w:hint="cs"/>
          <w:sz w:val="24"/>
          <w:szCs w:val="24"/>
          <w:rtl/>
          <w:lang w:bidi="fa-IR"/>
        </w:rPr>
        <w:t xml:space="preserve"> شامل</w:t>
      </w:r>
      <w:r w:rsidR="00854686" w:rsidRPr="00183F8B">
        <w:rPr>
          <w:rFonts w:cs="B Nazanin" w:hint="cs"/>
          <w:sz w:val="24"/>
          <w:szCs w:val="24"/>
          <w:rtl/>
          <w:lang w:bidi="fa-IR"/>
        </w:rPr>
        <w:t xml:space="preserve"> دو مرحله اسمز معکوس</w:t>
      </w:r>
      <w:r w:rsidR="00854686" w:rsidRPr="00183F8B">
        <w:rPr>
          <w:rStyle w:val="FootnoteReference"/>
          <w:rFonts w:cs="B Nazanin"/>
          <w:sz w:val="24"/>
          <w:szCs w:val="24"/>
          <w:rtl/>
          <w:lang w:bidi="fa-IR"/>
        </w:rPr>
        <w:footnoteReference w:id="1"/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(گزینه موجود تحت بهره برداری در سامانه نمک زدایی </w:t>
      </w:r>
      <w:r w:rsidR="00947AB0" w:rsidRPr="00183F8B">
        <w:rPr>
          <w:rFonts w:cs="B Nazanin" w:hint="cs"/>
          <w:sz w:val="24"/>
          <w:szCs w:val="24"/>
          <w:rtl/>
          <w:lang w:bidi="fa-IR"/>
        </w:rPr>
        <w:t>مورد مطالعه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)، آب لب شور وارد </w:t>
      </w:r>
      <w:r w:rsidR="003A6A1A">
        <w:rPr>
          <w:rFonts w:cs="B Nazanin"/>
          <w:sz w:val="24"/>
          <w:szCs w:val="24"/>
          <w:rtl/>
          <w:lang w:bidi="fa-IR"/>
        </w:rPr>
        <w:br/>
      </w:r>
      <w:r w:rsidRPr="00183F8B">
        <w:rPr>
          <w:rFonts w:cs="B Nazanin" w:hint="cs"/>
          <w:sz w:val="24"/>
          <w:szCs w:val="24"/>
          <w:rtl/>
          <w:lang w:bidi="fa-IR"/>
        </w:rPr>
        <w:t>اسمز معکوس مرحله اول شده و شورابه آن به اسمز معکوس مرحله دوم منتقل می شود</w:t>
      </w:r>
      <w:r w:rsidR="00854686" w:rsidRPr="00183F8B">
        <w:rPr>
          <w:rFonts w:cs="B Nazanin" w:hint="cs"/>
          <w:sz w:val="24"/>
          <w:szCs w:val="24"/>
          <w:rtl/>
          <w:lang w:bidi="fa-IR"/>
        </w:rPr>
        <w:t>.</w:t>
      </w:r>
    </w:p>
    <w:p w14:paraId="1DB9B418" w14:textId="2FA7E4CB" w:rsidR="0001148A" w:rsidRPr="00183F8B" w:rsidRDefault="0001148A" w:rsidP="00183F8B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3A6A1A">
        <w:rPr>
          <w:rFonts w:cs="B Nazanin" w:hint="cs"/>
          <w:b/>
          <w:bCs/>
          <w:sz w:val="20"/>
          <w:szCs w:val="20"/>
          <w:rtl/>
          <w:lang w:bidi="fa-IR"/>
        </w:rPr>
        <w:t>گزینه دوم: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واحدهای غشایی اسمز معکوس مرحله دوم</w:t>
      </w:r>
      <w:r w:rsidRPr="00183F8B">
        <w:rPr>
          <w:rFonts w:cs="B Nazanin"/>
          <w:sz w:val="24"/>
          <w:szCs w:val="24"/>
          <w:lang w:bidi="fa-IR"/>
        </w:rPr>
        <w:t xml:space="preserve"> 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در سامانه نمک زدایی آب </w:t>
      </w:r>
      <w:r w:rsidR="006125C1" w:rsidRPr="00183F8B">
        <w:rPr>
          <w:rFonts w:cs="B Nazanin" w:hint="cs"/>
          <w:sz w:val="24"/>
          <w:szCs w:val="24"/>
          <w:rtl/>
          <w:lang w:bidi="fa-IR"/>
        </w:rPr>
        <w:t>مورد مطالعه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به صورت موازی با غشای اسمز معکوس مرحله اول</w:t>
      </w:r>
      <w:r w:rsidR="00854686" w:rsidRPr="00183F8B">
        <w:rPr>
          <w:rStyle w:val="FootnoteReference"/>
          <w:rFonts w:cs="B Nazanin"/>
          <w:sz w:val="24"/>
          <w:szCs w:val="24"/>
          <w:rtl/>
          <w:lang w:bidi="fa-IR"/>
        </w:rPr>
        <w:footnoteReference w:id="2"/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درآمده و فاز توسعه نیز به صورت مدول غشایی یک مرحله ای اجرا می شود. فرآیندهای این گزینه به این صورت است که  آب لب شور از</w:t>
      </w:r>
      <w:r w:rsidR="00183F8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اسمز معکوس یک مرحله ای عبور نموده و شورابه آن به تصفیه میانی  شامل </w:t>
      </w:r>
      <w:r w:rsidRPr="007A6FB5">
        <w:rPr>
          <w:rFonts w:asciiTheme="majorBidi" w:hAnsiTheme="majorBidi" w:cstheme="majorBidi"/>
          <w:sz w:val="20"/>
          <w:szCs w:val="20"/>
          <w:lang w:bidi="fa-IR"/>
        </w:rPr>
        <w:t>SBER</w:t>
      </w:r>
      <w:r w:rsidRPr="007A6FB5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S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 و فرآیند تصفیه هیبریدی ( تنظیم پی هاش، مخزن ته نشینی، فیلتراسیون، میکروفیلتراسیون، اولترافیلتراسیون  و با فرآیندهای تکمیلی ویژه حذف آهن یا آلومینیوم باقیمانده) و در نهایت به اسمز معکوس مرحله دوم منتقل می شود .</w:t>
      </w:r>
    </w:p>
    <w:p w14:paraId="4FEBE962" w14:textId="090F48BB" w:rsidR="00042F06" w:rsidRPr="00183F8B" w:rsidRDefault="0001148A" w:rsidP="00856DC1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3A6A1A">
        <w:rPr>
          <w:rFonts w:cs="B Nazanin" w:hint="cs"/>
          <w:b/>
          <w:bCs/>
          <w:sz w:val="20"/>
          <w:szCs w:val="20"/>
          <w:rtl/>
          <w:lang w:bidi="fa-IR"/>
        </w:rPr>
        <w:t>گزینه سوم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: </w:t>
      </w:r>
      <w:r w:rsidR="00854686" w:rsidRPr="00183F8B">
        <w:rPr>
          <w:rFonts w:cs="B Nazanin" w:hint="cs"/>
          <w:sz w:val="24"/>
          <w:szCs w:val="24"/>
          <w:rtl/>
          <w:lang w:bidi="fa-IR"/>
        </w:rPr>
        <w:t xml:space="preserve">این گزینه </w:t>
      </w:r>
      <w:r w:rsidR="00B35459" w:rsidRPr="00183F8B">
        <w:rPr>
          <w:rFonts w:cs="B Nazanin" w:hint="cs"/>
          <w:sz w:val="24"/>
          <w:szCs w:val="24"/>
          <w:rtl/>
          <w:lang w:bidi="fa-IR"/>
        </w:rPr>
        <w:t>شامل</w:t>
      </w:r>
      <w:r w:rsidR="00854686" w:rsidRPr="00183F8B">
        <w:rPr>
          <w:rFonts w:cs="B Nazanin" w:hint="cs"/>
          <w:sz w:val="24"/>
          <w:szCs w:val="24"/>
          <w:rtl/>
          <w:lang w:bidi="fa-IR"/>
        </w:rPr>
        <w:t xml:space="preserve"> فرآیند اسمز معکوس یک مرحله ای به موازات واحد الکتروکو</w:t>
      </w:r>
      <w:r w:rsidR="00B35459" w:rsidRPr="00183F8B">
        <w:rPr>
          <w:rFonts w:cs="B Nazanin" w:hint="cs"/>
          <w:sz w:val="24"/>
          <w:szCs w:val="24"/>
          <w:rtl/>
          <w:lang w:bidi="fa-IR"/>
        </w:rPr>
        <w:t>ا</w:t>
      </w:r>
      <w:r w:rsidR="00854686" w:rsidRPr="00183F8B">
        <w:rPr>
          <w:rFonts w:cs="B Nazanin" w:hint="cs"/>
          <w:sz w:val="24"/>
          <w:szCs w:val="24"/>
          <w:rtl/>
          <w:lang w:bidi="fa-IR"/>
        </w:rPr>
        <w:t xml:space="preserve">گولاسیون و </w:t>
      </w:r>
      <w:r w:rsidR="00B35459" w:rsidRPr="00183F8B">
        <w:rPr>
          <w:rFonts w:cs="B Nazanin" w:hint="cs"/>
          <w:sz w:val="24"/>
          <w:szCs w:val="24"/>
          <w:rtl/>
          <w:lang w:bidi="fa-IR"/>
        </w:rPr>
        <w:t>اختلاط شورابه اسمز معکوس با آب خروجی از الکتروکواگولاسیون</w:t>
      </w:r>
      <w:r w:rsidR="00B35459" w:rsidRPr="00183F8B">
        <w:rPr>
          <w:rStyle w:val="FootnoteReference"/>
          <w:rFonts w:cs="B Nazanin"/>
          <w:sz w:val="24"/>
          <w:szCs w:val="24"/>
          <w:rtl/>
          <w:lang w:bidi="fa-IR"/>
        </w:rPr>
        <w:footnoteReference w:id="3"/>
      </w:r>
      <w:r w:rsidR="00B35459" w:rsidRPr="00183F8B">
        <w:rPr>
          <w:rFonts w:cs="B Nazanin" w:hint="cs"/>
          <w:sz w:val="24"/>
          <w:szCs w:val="24"/>
          <w:rtl/>
          <w:lang w:bidi="fa-IR"/>
        </w:rPr>
        <w:t xml:space="preserve"> است. 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دو مسیر جریان در نظر گرفنه شده است . </w:t>
      </w:r>
      <w:r w:rsidR="00B35459" w:rsidRPr="00183F8B">
        <w:rPr>
          <w:rFonts w:cs="B Nazanin" w:hint="cs"/>
          <w:sz w:val="24"/>
          <w:szCs w:val="24"/>
          <w:rtl/>
          <w:lang w:bidi="fa-IR"/>
        </w:rPr>
        <w:t xml:space="preserve"> مسیر جریان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اسمز معکوس</w:t>
      </w:r>
      <w:r w:rsidR="00B35459" w:rsidRPr="00183F8B">
        <w:rPr>
          <w:rFonts w:cs="B Nazanin" w:hint="cs"/>
          <w:sz w:val="24"/>
          <w:szCs w:val="24"/>
          <w:rtl/>
          <w:lang w:bidi="fa-IR"/>
        </w:rPr>
        <w:t xml:space="preserve"> جهت تامین آب شرب و 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</w:t>
      </w:r>
      <w:r w:rsidR="00854686" w:rsidRPr="00183F8B">
        <w:rPr>
          <w:rFonts w:cs="B Nazanin" w:hint="cs"/>
          <w:sz w:val="24"/>
          <w:szCs w:val="24"/>
          <w:rtl/>
          <w:lang w:bidi="fa-IR"/>
        </w:rPr>
        <w:t>مسیر جریان دوم، معادل ظرفیت مسیر جریان اول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</w:t>
      </w:r>
      <w:r w:rsidR="00B35459" w:rsidRPr="00183F8B">
        <w:rPr>
          <w:rFonts w:cs="B Nazanin" w:hint="cs"/>
          <w:sz w:val="24"/>
          <w:szCs w:val="24"/>
          <w:rtl/>
          <w:lang w:bidi="fa-IR"/>
        </w:rPr>
        <w:t>با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فرآیندهای مشتمل بر </w:t>
      </w:r>
      <w:r w:rsidRPr="007A6FB5">
        <w:rPr>
          <w:rFonts w:asciiTheme="majorBidi" w:hAnsiTheme="majorBidi" w:cstheme="majorBidi"/>
          <w:sz w:val="20"/>
          <w:szCs w:val="20"/>
          <w:lang w:bidi="fa-IR"/>
        </w:rPr>
        <w:t>SBER</w:t>
      </w:r>
      <w:r w:rsidRPr="007A6FB5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S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83F8B">
        <w:rPr>
          <w:rFonts w:cs="B Nazanin"/>
          <w:sz w:val="24"/>
          <w:szCs w:val="24"/>
          <w:lang w:bidi="fa-IR"/>
        </w:rPr>
        <w:t xml:space="preserve"> </w:t>
      </w:r>
      <w:r w:rsidR="00854686" w:rsidRPr="00183F8B">
        <w:rPr>
          <w:rFonts w:cs="B Nazanin" w:hint="cs"/>
          <w:sz w:val="24"/>
          <w:szCs w:val="24"/>
          <w:rtl/>
          <w:lang w:bidi="fa-IR"/>
        </w:rPr>
        <w:t>و تصفیه تکمیلی</w:t>
      </w:r>
      <w:r w:rsidR="00B35459" w:rsidRPr="00183F8B">
        <w:rPr>
          <w:rFonts w:cs="B Nazanin" w:hint="cs"/>
          <w:sz w:val="24"/>
          <w:szCs w:val="24"/>
          <w:rtl/>
          <w:lang w:bidi="fa-IR"/>
        </w:rPr>
        <w:t xml:space="preserve"> </w:t>
      </w:r>
      <w:r w:rsidR="003A6A1A">
        <w:rPr>
          <w:rFonts w:cs="B Nazanin" w:hint="cs"/>
          <w:sz w:val="24"/>
          <w:szCs w:val="24"/>
          <w:rtl/>
          <w:lang w:bidi="fa-IR"/>
        </w:rPr>
        <w:t xml:space="preserve">برای تامین آب صنعتی یا آب کشاورزی است. </w:t>
      </w:r>
    </w:p>
    <w:p w14:paraId="63CD9772" w14:textId="14DF5248" w:rsidR="0001148A" w:rsidRDefault="0001148A" w:rsidP="00856DC1">
      <w:pPr>
        <w:bidi/>
        <w:spacing w:line="360" w:lineRule="auto"/>
        <w:jc w:val="lowKashida"/>
        <w:rPr>
          <w:rFonts w:cs="B Mitra"/>
          <w:sz w:val="24"/>
          <w:szCs w:val="24"/>
          <w:rtl/>
        </w:rPr>
      </w:pPr>
      <w:r w:rsidRPr="00183F8B">
        <w:rPr>
          <w:rFonts w:cs="B Nazanin" w:hint="cs"/>
          <w:sz w:val="24"/>
          <w:szCs w:val="24"/>
          <w:rtl/>
          <w:lang w:bidi="fa-IR"/>
        </w:rPr>
        <w:t>میزان آب تولیدی و مصارف برای گزینه های مختلف</w:t>
      </w:r>
      <w:r w:rsidRPr="00183F8B">
        <w:rPr>
          <w:rFonts w:cs="B Nazanin"/>
          <w:sz w:val="24"/>
          <w:szCs w:val="24"/>
          <w:lang w:bidi="fa-IR"/>
        </w:rPr>
        <w:t xml:space="preserve"> 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برای طرح توسعه سامانه نمک زدایی </w:t>
      </w:r>
      <w:r w:rsidR="00947AB0" w:rsidRPr="00183F8B">
        <w:rPr>
          <w:rFonts w:cs="B Nazanin" w:hint="cs"/>
          <w:sz w:val="24"/>
          <w:szCs w:val="24"/>
          <w:rtl/>
          <w:lang w:bidi="fa-IR"/>
        </w:rPr>
        <w:t>مورد مطالعه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برای </w:t>
      </w:r>
      <w:r w:rsidR="00947AB0" w:rsidRPr="00183F8B">
        <w:rPr>
          <w:rFonts w:cs="B Nazanin" w:hint="cs"/>
          <w:sz w:val="24"/>
          <w:szCs w:val="24"/>
          <w:rtl/>
          <w:lang w:bidi="fa-IR"/>
        </w:rPr>
        <w:t xml:space="preserve">ظرفیت اسمی سامانه برابر </w:t>
      </w:r>
      <w:r w:rsidR="00947AB0" w:rsidRPr="00183F8B">
        <w:rPr>
          <w:rFonts w:cs="B Nazanin"/>
          <w:sz w:val="24"/>
          <w:szCs w:val="24"/>
          <w:lang w:bidi="fa-IR"/>
        </w:rPr>
        <w:t xml:space="preserve">  </w:t>
      </w:r>
      <w:r w:rsidR="00947AB0" w:rsidRPr="00183F8B">
        <w:rPr>
          <w:rFonts w:asciiTheme="majorBidi" w:hAnsiTheme="majorBidi" w:cstheme="majorBidi"/>
          <w:sz w:val="20"/>
          <w:szCs w:val="20"/>
          <w:lang w:bidi="fa-IR"/>
        </w:rPr>
        <w:t>m</w:t>
      </w:r>
      <w:r w:rsidR="00947AB0" w:rsidRPr="00183F8B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3</w:t>
      </w:r>
      <w:r w:rsidR="00947AB0" w:rsidRPr="00183F8B">
        <w:rPr>
          <w:rFonts w:asciiTheme="majorBidi" w:hAnsiTheme="majorBidi" w:cstheme="majorBidi"/>
          <w:sz w:val="20"/>
          <w:szCs w:val="20"/>
          <w:lang w:bidi="fa-IR"/>
        </w:rPr>
        <w:t>/d</w:t>
      </w:r>
      <w:r w:rsidR="00947AB0" w:rsidRPr="00183F8B">
        <w:rPr>
          <w:rFonts w:cs="B Nazanin"/>
          <w:sz w:val="24"/>
          <w:szCs w:val="24"/>
          <w:lang w:bidi="fa-IR"/>
        </w:rPr>
        <w:t xml:space="preserve"> </w:t>
      </w:r>
      <w:r w:rsidR="00947AB0" w:rsidRPr="00183F8B">
        <w:rPr>
          <w:rFonts w:cs="B Nazanin" w:hint="cs"/>
          <w:sz w:val="24"/>
          <w:szCs w:val="24"/>
          <w:rtl/>
          <w:lang w:bidi="fa-IR"/>
        </w:rPr>
        <w:t>20000</w:t>
      </w:r>
      <w:r w:rsidRPr="00183F8B">
        <w:rPr>
          <w:rFonts w:cs="B Nazanin" w:hint="cs"/>
          <w:sz w:val="24"/>
          <w:szCs w:val="24"/>
          <w:rtl/>
          <w:lang w:bidi="fa-IR"/>
        </w:rPr>
        <w:t xml:space="preserve"> در جدول</w:t>
      </w:r>
      <w:r w:rsidR="00947AB0" w:rsidRPr="00183F8B">
        <w:rPr>
          <w:rFonts w:cs="B Nazanin" w:hint="cs"/>
          <w:sz w:val="24"/>
          <w:szCs w:val="24"/>
          <w:rtl/>
          <w:lang w:bidi="fa-IR"/>
        </w:rPr>
        <w:t>(1) نشان داده شده است. به این ترتیب برای فاز توسعه سامانه نمک زدایی، سه گزینه پیشنهاد شده است که ابتدا از لحاظ فنی، مورد بررسی قرار گرفته و متعاقبا مدل اقتصادی آنها ارائه می شود.</w:t>
      </w:r>
    </w:p>
    <w:p w14:paraId="6137EEAB" w14:textId="1DAD8F25" w:rsidR="0001148A" w:rsidRPr="00C31B1E" w:rsidRDefault="0001148A" w:rsidP="00183F8B">
      <w:pPr>
        <w:bidi/>
        <w:spacing w:line="240" w:lineRule="auto"/>
        <w:jc w:val="center"/>
        <w:rPr>
          <w:rFonts w:cs="B Mitra"/>
          <w:sz w:val="24"/>
          <w:szCs w:val="24"/>
          <w:rtl/>
        </w:rPr>
      </w:pPr>
      <w:r w:rsidRPr="00183F8B">
        <w:rPr>
          <w:rFonts w:ascii="Calibri" w:eastAsia="Calibri" w:hAnsi="Calibri" w:cs="B Mitra" w:hint="cs"/>
          <w:rtl/>
          <w:lang w:bidi="fa-IR"/>
        </w:rPr>
        <w:lastRenderedPageBreak/>
        <w:t>جدول</w:t>
      </w:r>
      <w:r w:rsidR="00947AB0" w:rsidRPr="00183F8B">
        <w:rPr>
          <w:rFonts w:ascii="Calibri" w:eastAsia="Calibri" w:hAnsi="Calibri" w:cs="B Mitra" w:hint="cs"/>
          <w:rtl/>
          <w:lang w:bidi="fa-IR"/>
        </w:rPr>
        <w:t>(1)</w:t>
      </w:r>
      <w:r w:rsidRPr="00183F8B">
        <w:rPr>
          <w:rFonts w:ascii="Calibri" w:eastAsia="Calibri" w:hAnsi="Calibri" w:cs="B Mitra" w:hint="cs"/>
          <w:rtl/>
          <w:lang w:bidi="fa-IR"/>
        </w:rPr>
        <w:t xml:space="preserve"> </w:t>
      </w:r>
      <w:r w:rsidRPr="00183F8B">
        <w:rPr>
          <w:rFonts w:ascii="Times New Roman" w:eastAsia="Calibri" w:hAnsi="Times New Roman" w:cs="Times New Roman" w:hint="cs"/>
          <w:rtl/>
          <w:lang w:bidi="fa-IR"/>
        </w:rPr>
        <w:t>–</w:t>
      </w:r>
      <w:r w:rsidRPr="00183F8B">
        <w:rPr>
          <w:rFonts w:ascii="Calibri" w:eastAsia="Calibri" w:hAnsi="Calibri" w:cs="B Mitra" w:hint="cs"/>
          <w:rtl/>
          <w:lang w:bidi="fa-IR"/>
        </w:rPr>
        <w:t xml:space="preserve"> میزان آب </w:t>
      </w:r>
      <w:r w:rsidR="00947AB0" w:rsidRPr="00183F8B">
        <w:rPr>
          <w:rFonts w:ascii="Calibri" w:eastAsia="Calibri" w:hAnsi="Calibri" w:cs="B Mitra" w:hint="cs"/>
          <w:rtl/>
          <w:lang w:bidi="fa-IR"/>
        </w:rPr>
        <w:t xml:space="preserve">تولیدی </w:t>
      </w:r>
      <w:r w:rsidRPr="00183F8B">
        <w:rPr>
          <w:rFonts w:ascii="Calibri" w:eastAsia="Calibri" w:hAnsi="Calibri" w:cs="B Mitra" w:hint="cs"/>
          <w:rtl/>
          <w:lang w:bidi="fa-IR"/>
        </w:rPr>
        <w:t>و</w:t>
      </w:r>
      <w:r w:rsidR="00C26532" w:rsidRPr="00183F8B">
        <w:rPr>
          <w:rFonts w:ascii="Calibri" w:eastAsia="Calibri" w:hAnsi="Calibri" w:cs="B Mitra"/>
          <w:lang w:bidi="fa-IR"/>
        </w:rPr>
        <w:t xml:space="preserve"> </w:t>
      </w:r>
      <w:r w:rsidR="00C26532" w:rsidRPr="00183F8B">
        <w:rPr>
          <w:rFonts w:ascii="Calibri" w:eastAsia="Calibri" w:hAnsi="Calibri" w:cs="B Mitra" w:hint="cs"/>
          <w:rtl/>
          <w:lang w:bidi="fa-IR"/>
        </w:rPr>
        <w:t xml:space="preserve"> حجم دفع شورابه</w:t>
      </w:r>
      <w:r w:rsidR="00A05B8C" w:rsidRPr="00183F8B">
        <w:rPr>
          <w:rFonts w:ascii="Calibri" w:eastAsia="Calibri" w:hAnsi="Calibri" w:cs="B Mitra" w:hint="cs"/>
          <w:rtl/>
          <w:lang w:bidi="fa-IR"/>
        </w:rPr>
        <w:t xml:space="preserve"> </w:t>
      </w:r>
      <w:r w:rsidR="00C26532" w:rsidRPr="00183F8B">
        <w:rPr>
          <w:rFonts w:ascii="Calibri" w:eastAsia="Calibri" w:hAnsi="Calibri" w:cs="B Mitra" w:hint="cs"/>
          <w:rtl/>
          <w:lang w:bidi="fa-IR"/>
        </w:rPr>
        <w:t xml:space="preserve">در طرح توسعه </w:t>
      </w:r>
      <w:r w:rsidR="00B35459" w:rsidRPr="00183F8B">
        <w:rPr>
          <w:rFonts w:ascii="Calibri" w:eastAsia="Calibri" w:hAnsi="Calibri" w:cs="B Mitra" w:hint="cs"/>
          <w:rtl/>
          <w:lang w:bidi="fa-IR"/>
        </w:rPr>
        <w:t xml:space="preserve">سامانه نمک زدایی </w:t>
      </w:r>
      <w:r w:rsidR="00C26532" w:rsidRPr="00183F8B">
        <w:rPr>
          <w:rFonts w:ascii="Calibri" w:eastAsia="Calibri" w:hAnsi="Calibri" w:cs="B Mitra" w:hint="cs"/>
          <w:rtl/>
          <w:lang w:bidi="fa-IR"/>
        </w:rPr>
        <w:t xml:space="preserve">مورد مطالعه </w:t>
      </w:r>
      <w:r w:rsidR="00B35459" w:rsidRPr="00183F8B">
        <w:rPr>
          <w:rFonts w:ascii="Calibri" w:eastAsia="Calibri" w:hAnsi="Calibri" w:cs="B Mitra" w:hint="cs"/>
          <w:rtl/>
          <w:lang w:bidi="fa-IR"/>
        </w:rPr>
        <w:t>به ظرفیت</w:t>
      </w:r>
      <w:r w:rsidR="00B35459">
        <w:rPr>
          <w:rFonts w:cs="B Mitra" w:hint="cs"/>
          <w:sz w:val="24"/>
          <w:szCs w:val="24"/>
          <w:rtl/>
        </w:rPr>
        <w:t xml:space="preserve"> </w:t>
      </w:r>
      <w:r w:rsidR="00B35459" w:rsidRPr="00B35459">
        <w:rPr>
          <w:rFonts w:cs="B Mitra"/>
          <w:sz w:val="24"/>
          <w:szCs w:val="24"/>
          <w:lang w:bidi="fa-IR"/>
        </w:rPr>
        <w:t xml:space="preserve"> </w:t>
      </w:r>
      <w:r w:rsidR="00183F8B" w:rsidRPr="00183F8B">
        <w:rPr>
          <w:rFonts w:asciiTheme="majorBidi" w:hAnsiTheme="majorBidi" w:cstheme="majorBidi"/>
          <w:sz w:val="20"/>
          <w:szCs w:val="20"/>
          <w:lang w:bidi="fa-IR"/>
        </w:rPr>
        <w:t>m</w:t>
      </w:r>
      <w:r w:rsidR="00183F8B" w:rsidRPr="00183F8B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3</w:t>
      </w:r>
      <w:r w:rsidR="00183F8B" w:rsidRPr="00183F8B">
        <w:rPr>
          <w:rFonts w:asciiTheme="majorBidi" w:hAnsiTheme="majorBidi" w:cstheme="majorBidi"/>
          <w:sz w:val="20"/>
          <w:szCs w:val="20"/>
          <w:lang w:bidi="fa-IR"/>
        </w:rPr>
        <w:t>/d</w:t>
      </w:r>
      <w:r w:rsidR="00B35459" w:rsidRPr="00183F8B">
        <w:rPr>
          <w:rFonts w:ascii="Calibri" w:eastAsia="Calibri" w:hAnsi="Calibri" w:cs="B Mitra" w:hint="cs"/>
          <w:rtl/>
          <w:lang w:bidi="fa-IR"/>
        </w:rPr>
        <w:t>20000</w:t>
      </w:r>
      <w:r w:rsidR="00B35459" w:rsidRPr="0001148A">
        <w:rPr>
          <w:rFonts w:cs="B Mitra" w:hint="cs"/>
          <w:sz w:val="24"/>
          <w:szCs w:val="24"/>
          <w:rtl/>
          <w:lang w:bidi="fa-IR"/>
        </w:rPr>
        <w:t xml:space="preserve"> </w:t>
      </w:r>
      <w:r w:rsidR="00B35459">
        <w:rPr>
          <w:rFonts w:cs="B Mitra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1496"/>
        <w:gridCol w:w="1669"/>
        <w:gridCol w:w="1923"/>
        <w:gridCol w:w="1430"/>
        <w:gridCol w:w="1433"/>
        <w:gridCol w:w="1625"/>
      </w:tblGrid>
      <w:tr w:rsidR="0001148A" w:rsidRPr="00481470" w14:paraId="60205DC5" w14:textId="77777777" w:rsidTr="001707FB">
        <w:trPr>
          <w:jc w:val="center"/>
        </w:trPr>
        <w:tc>
          <w:tcPr>
            <w:tcW w:w="9576" w:type="dxa"/>
            <w:gridSpan w:val="6"/>
            <w:tcBorders>
              <w:bottom w:val="single" w:sz="4" w:space="0" w:color="auto"/>
            </w:tcBorders>
            <w:shd w:val="clear" w:color="auto" w:fill="92D050"/>
          </w:tcPr>
          <w:p w14:paraId="39CBF26F" w14:textId="5C2373ED" w:rsidR="0001148A" w:rsidRPr="00183F8B" w:rsidRDefault="0001148A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Flow of feed Brackish water  20000 m3/d</w:t>
            </w:r>
          </w:p>
        </w:tc>
      </w:tr>
      <w:tr w:rsidR="0001148A" w:rsidRPr="00481470" w14:paraId="1DA5ED64" w14:textId="77777777" w:rsidTr="00670C5C">
        <w:trPr>
          <w:trHeight w:val="1088"/>
          <w:jc w:val="center"/>
        </w:trPr>
        <w:tc>
          <w:tcPr>
            <w:tcW w:w="1496" w:type="dxa"/>
            <w:shd w:val="clear" w:color="auto" w:fill="D9D9D9" w:themeFill="background1" w:themeFillShade="D9"/>
          </w:tcPr>
          <w:p w14:paraId="54BA396A" w14:textId="144F1003" w:rsidR="0001148A" w:rsidRPr="00183F8B" w:rsidRDefault="0001148A" w:rsidP="00C2653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Percent of </w:t>
            </w:r>
            <w:r w:rsidR="00C26532" w:rsidRPr="00183F8B">
              <w:rPr>
                <w:rFonts w:asciiTheme="majorBidi" w:hAnsiTheme="majorBidi" w:cstheme="majorBidi"/>
                <w:sz w:val="20"/>
                <w:szCs w:val="20"/>
              </w:rPr>
              <w:t>rejected</w:t>
            </w:r>
            <w:r w:rsidRPr="00183F8B">
              <w:rPr>
                <w:rFonts w:asciiTheme="majorBidi" w:hAnsiTheme="majorBidi" w:cstheme="majorBidi"/>
                <w:sz w:val="20"/>
                <w:szCs w:val="20"/>
              </w:rPr>
              <w:t xml:space="preserve"> brine</w:t>
            </w:r>
          </w:p>
          <w:p w14:paraId="41DAF3B6" w14:textId="7E62E61B" w:rsidR="0001148A" w:rsidRPr="00183F8B" w:rsidRDefault="0001148A" w:rsidP="00670C5C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(%)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14:paraId="49F50FC0" w14:textId="77777777" w:rsidR="00856DC1" w:rsidRDefault="00C26532" w:rsidP="00C2653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The capacity of  rejected brine</w:t>
            </w:r>
          </w:p>
          <w:p w14:paraId="14301C5E" w14:textId="2875CAE2" w:rsidR="0001148A" w:rsidRPr="00183F8B" w:rsidRDefault="00C26532" w:rsidP="00856DC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1148A" w:rsidRPr="00183F8B">
              <w:rPr>
                <w:rFonts w:asciiTheme="majorBidi" w:hAnsiTheme="majorBidi" w:cstheme="majorBidi"/>
                <w:sz w:val="20"/>
                <w:szCs w:val="20"/>
              </w:rPr>
              <w:t>(m</w:t>
            </w:r>
            <w:r w:rsidR="0001148A" w:rsidRPr="00183F8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</w:t>
            </w:r>
            <w:r w:rsidR="0001148A" w:rsidRPr="00183F8B">
              <w:rPr>
                <w:rFonts w:asciiTheme="majorBidi" w:hAnsiTheme="majorBidi" w:cstheme="majorBidi"/>
                <w:sz w:val="20"/>
                <w:szCs w:val="20"/>
              </w:rPr>
              <w:t>/d)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4BD110D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Total water supply</w:t>
            </w:r>
            <w:r w:rsidRPr="00183F8B">
              <w:rPr>
                <w:rFonts w:asciiTheme="majorBidi" w:hAnsiTheme="majorBidi" w:cstheme="majorBidi"/>
                <w:sz w:val="20"/>
                <w:szCs w:val="20"/>
              </w:rPr>
              <w:br/>
              <w:t>(Drinking water &amp; irrigation uses)</w:t>
            </w:r>
          </w:p>
          <w:p w14:paraId="3443DD77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(m</w:t>
            </w:r>
            <w:r w:rsidRPr="00183F8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</w:t>
            </w:r>
            <w:r w:rsidRPr="00183F8B">
              <w:rPr>
                <w:rFonts w:asciiTheme="majorBidi" w:hAnsiTheme="majorBidi" w:cstheme="majorBidi"/>
                <w:sz w:val="20"/>
                <w:szCs w:val="20"/>
              </w:rPr>
              <w:t>/d)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14:paraId="1B135570" w14:textId="77777777" w:rsidR="00C26532" w:rsidRPr="00183F8B" w:rsidRDefault="0001148A" w:rsidP="00C2653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 xml:space="preserve">Water supply  for </w:t>
            </w:r>
            <w:r w:rsidR="00D423CA" w:rsidRPr="00183F8B">
              <w:rPr>
                <w:rFonts w:asciiTheme="majorBidi" w:hAnsiTheme="majorBidi" w:cstheme="majorBidi"/>
                <w:sz w:val="20"/>
                <w:szCs w:val="20"/>
              </w:rPr>
              <w:t>industrial</w:t>
            </w:r>
            <w:r w:rsidR="00C26532" w:rsidRPr="00183F8B">
              <w:rPr>
                <w:rFonts w:asciiTheme="majorBidi" w:hAnsiTheme="majorBidi" w:cstheme="majorBidi"/>
                <w:sz w:val="20"/>
                <w:szCs w:val="20"/>
              </w:rPr>
              <w:t xml:space="preserve"> uses</w:t>
            </w:r>
            <w:r w:rsidR="00C26532" w:rsidRPr="00183F8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  <w:p w14:paraId="07BDB1F1" w14:textId="1ABE8C26" w:rsidR="0001148A" w:rsidRPr="00183F8B" w:rsidRDefault="00C26532" w:rsidP="00C2653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01148A" w:rsidRPr="00183F8B">
              <w:rPr>
                <w:rFonts w:asciiTheme="majorBidi" w:hAnsiTheme="majorBidi" w:cstheme="majorBidi"/>
                <w:sz w:val="20"/>
                <w:szCs w:val="20"/>
              </w:rPr>
              <w:t>(m</w:t>
            </w:r>
            <w:r w:rsidR="0001148A" w:rsidRPr="00183F8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</w:t>
            </w:r>
            <w:r w:rsidR="0001148A" w:rsidRPr="00183F8B">
              <w:rPr>
                <w:rFonts w:asciiTheme="majorBidi" w:hAnsiTheme="majorBidi" w:cstheme="majorBidi"/>
                <w:sz w:val="20"/>
                <w:szCs w:val="20"/>
              </w:rPr>
              <w:t>/d)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13601F61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Desalinated water  for drinking water uses</w:t>
            </w:r>
          </w:p>
          <w:p w14:paraId="69A081E2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(m</w:t>
            </w:r>
            <w:r w:rsidRPr="00183F8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</w:t>
            </w:r>
            <w:r w:rsidRPr="00183F8B">
              <w:rPr>
                <w:rFonts w:asciiTheme="majorBidi" w:hAnsiTheme="majorBidi" w:cstheme="majorBidi"/>
                <w:sz w:val="20"/>
                <w:szCs w:val="20"/>
              </w:rPr>
              <w:t>/d)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14:paraId="4DA3BD67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Alternatives</w:t>
            </w:r>
          </w:p>
        </w:tc>
      </w:tr>
      <w:tr w:rsidR="0001148A" w:rsidRPr="00481470" w14:paraId="13B9CEE4" w14:textId="77777777" w:rsidTr="001707FB">
        <w:trPr>
          <w:jc w:val="center"/>
        </w:trPr>
        <w:tc>
          <w:tcPr>
            <w:tcW w:w="1496" w:type="dxa"/>
          </w:tcPr>
          <w:p w14:paraId="0190C80F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669" w:type="dxa"/>
          </w:tcPr>
          <w:p w14:paraId="2A5799CD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5000</w:t>
            </w:r>
          </w:p>
        </w:tc>
        <w:tc>
          <w:tcPr>
            <w:tcW w:w="1923" w:type="dxa"/>
          </w:tcPr>
          <w:p w14:paraId="7DB429B5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15000</w:t>
            </w:r>
          </w:p>
        </w:tc>
        <w:tc>
          <w:tcPr>
            <w:tcW w:w="1430" w:type="dxa"/>
          </w:tcPr>
          <w:p w14:paraId="03B1011A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14:paraId="3883F360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15000</w:t>
            </w:r>
          </w:p>
        </w:tc>
        <w:tc>
          <w:tcPr>
            <w:tcW w:w="1625" w:type="dxa"/>
          </w:tcPr>
          <w:p w14:paraId="391C74CE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Alternative 1</w:t>
            </w:r>
          </w:p>
        </w:tc>
      </w:tr>
      <w:tr w:rsidR="0001148A" w:rsidRPr="00481470" w14:paraId="6B8460D2" w14:textId="77777777" w:rsidTr="001707FB">
        <w:trPr>
          <w:jc w:val="center"/>
        </w:trPr>
        <w:tc>
          <w:tcPr>
            <w:tcW w:w="1496" w:type="dxa"/>
          </w:tcPr>
          <w:p w14:paraId="5A42C250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17.76</w:t>
            </w:r>
          </w:p>
        </w:tc>
        <w:tc>
          <w:tcPr>
            <w:tcW w:w="1669" w:type="dxa"/>
          </w:tcPr>
          <w:p w14:paraId="4E256DD3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3552</w:t>
            </w:r>
          </w:p>
        </w:tc>
        <w:tc>
          <w:tcPr>
            <w:tcW w:w="1923" w:type="dxa"/>
          </w:tcPr>
          <w:p w14:paraId="0CF30DAC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16448</w:t>
            </w:r>
          </w:p>
        </w:tc>
        <w:tc>
          <w:tcPr>
            <w:tcW w:w="1430" w:type="dxa"/>
          </w:tcPr>
          <w:p w14:paraId="6360470A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14:paraId="7F923660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16448</w:t>
            </w:r>
          </w:p>
        </w:tc>
        <w:tc>
          <w:tcPr>
            <w:tcW w:w="1625" w:type="dxa"/>
          </w:tcPr>
          <w:p w14:paraId="273D08B9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Alternative 2</w:t>
            </w:r>
          </w:p>
        </w:tc>
      </w:tr>
      <w:tr w:rsidR="0001148A" w:rsidRPr="00481470" w14:paraId="60588E4D" w14:textId="77777777" w:rsidTr="001707FB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</w:tcPr>
          <w:p w14:paraId="50833A4B" w14:textId="28B8138E" w:rsidR="0001148A" w:rsidRPr="00183F8B" w:rsidRDefault="00305612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55603F90" w14:textId="355A91D4" w:rsidR="0001148A" w:rsidRPr="00183F8B" w:rsidRDefault="00305612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750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68735BDD" w14:textId="08F86876" w:rsidR="0001148A" w:rsidRPr="00183F8B" w:rsidRDefault="0001148A" w:rsidP="0030561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19</w:t>
            </w:r>
            <w:r w:rsidR="00305612" w:rsidRPr="00183F8B">
              <w:rPr>
                <w:rFonts w:asciiTheme="majorBidi" w:hAnsiTheme="majorBidi" w:cstheme="majorBidi"/>
                <w:sz w:val="20"/>
                <w:szCs w:val="20"/>
              </w:rPr>
              <w:t>250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2C982459" w14:textId="7660E8DF" w:rsidR="0001148A" w:rsidRPr="00183F8B" w:rsidRDefault="00D423C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15000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63B735DC" w14:textId="2DD8148E" w:rsidR="0001148A" w:rsidRPr="00183F8B" w:rsidRDefault="00D423C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5000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069A165C" w14:textId="77777777" w:rsidR="0001148A" w:rsidRPr="00183F8B" w:rsidRDefault="0001148A" w:rsidP="00170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Alternative 3</w:t>
            </w:r>
          </w:p>
        </w:tc>
      </w:tr>
    </w:tbl>
    <w:p w14:paraId="0FF0D1CC" w14:textId="6DEA0D38" w:rsidR="0001148A" w:rsidRPr="00183F8B" w:rsidRDefault="00D423CA" w:rsidP="00856DC1">
      <w:pPr>
        <w:bidi/>
        <w:spacing w:line="360" w:lineRule="auto"/>
        <w:jc w:val="both"/>
        <w:rPr>
          <w:rFonts w:cs="B Nazanin"/>
          <w:szCs w:val="24"/>
          <w:rtl/>
          <w:lang w:bidi="fa-IR"/>
        </w:rPr>
      </w:pPr>
      <w:r w:rsidRPr="00183F8B">
        <w:rPr>
          <w:rFonts w:cs="B Nazanin" w:hint="cs"/>
          <w:sz w:val="24"/>
          <w:szCs w:val="24"/>
          <w:rtl/>
        </w:rPr>
        <w:t xml:space="preserve">بر اساس نتایج حاصله، </w:t>
      </w:r>
      <w:r w:rsidR="0001148A" w:rsidRPr="00183F8B">
        <w:rPr>
          <w:rFonts w:cs="B Nazanin" w:hint="cs"/>
          <w:sz w:val="24"/>
          <w:szCs w:val="24"/>
          <w:rtl/>
          <w:lang w:bidi="fa-IR"/>
        </w:rPr>
        <w:t>گزینه</w:t>
      </w:r>
      <w:r w:rsidR="0001148A" w:rsidRPr="00183F8B">
        <w:rPr>
          <w:rFonts w:cs="B Nazanin" w:hint="cs"/>
          <w:sz w:val="24"/>
          <w:szCs w:val="24"/>
          <w:rtl/>
        </w:rPr>
        <w:t xml:space="preserve"> سوم</w:t>
      </w:r>
      <w:r w:rsidR="00C26532" w:rsidRPr="00183F8B">
        <w:rPr>
          <w:rFonts w:cs="B Nazanin"/>
          <w:sz w:val="24"/>
          <w:szCs w:val="24"/>
        </w:rPr>
        <w:t xml:space="preserve"> </w:t>
      </w:r>
      <w:r w:rsidR="0001148A" w:rsidRPr="00183F8B">
        <w:rPr>
          <w:rFonts w:cs="B Nazanin" w:hint="cs"/>
          <w:sz w:val="24"/>
          <w:szCs w:val="24"/>
          <w:rtl/>
        </w:rPr>
        <w:t xml:space="preserve">در </w:t>
      </w:r>
      <w:r w:rsidRPr="00183F8B">
        <w:rPr>
          <w:rFonts w:cs="B Nazanin" w:hint="cs"/>
          <w:sz w:val="24"/>
          <w:szCs w:val="24"/>
          <w:rtl/>
          <w:lang w:bidi="fa-IR"/>
        </w:rPr>
        <w:t>این</w:t>
      </w:r>
      <w:r w:rsidR="0001148A" w:rsidRPr="00183F8B">
        <w:rPr>
          <w:rFonts w:cs="B Nazanin" w:hint="cs"/>
          <w:sz w:val="24"/>
          <w:szCs w:val="24"/>
          <w:rtl/>
        </w:rPr>
        <w:t xml:space="preserve"> سناریو </w:t>
      </w:r>
      <w:r w:rsidR="0001148A" w:rsidRPr="00183F8B">
        <w:rPr>
          <w:rFonts w:cs="B Nazanin" w:hint="cs"/>
          <w:sz w:val="24"/>
          <w:szCs w:val="24"/>
          <w:rtl/>
          <w:lang w:bidi="fa-IR"/>
        </w:rPr>
        <w:t>با بیشترین میزان آب تولیدی شامل آب مورد نیاز مصارف شرب</w:t>
      </w:r>
      <w:r w:rsidR="0001148A" w:rsidRPr="00183F8B">
        <w:rPr>
          <w:rFonts w:cs="B Nazanin"/>
          <w:sz w:val="24"/>
          <w:szCs w:val="24"/>
          <w:lang w:bidi="fa-IR"/>
        </w:rPr>
        <w:t xml:space="preserve"> </w:t>
      </w:r>
      <w:r w:rsidR="0001148A" w:rsidRPr="00183F8B">
        <w:rPr>
          <w:rFonts w:cs="B Nazanin" w:hint="cs"/>
          <w:sz w:val="24"/>
          <w:szCs w:val="24"/>
          <w:rtl/>
          <w:lang w:bidi="fa-IR"/>
        </w:rPr>
        <w:t>و مصارف</w:t>
      </w:r>
      <w:r w:rsidR="00C26532" w:rsidRPr="00183F8B">
        <w:rPr>
          <w:rFonts w:cs="B Nazanin"/>
          <w:sz w:val="24"/>
          <w:szCs w:val="24"/>
          <w:lang w:bidi="fa-IR"/>
        </w:rPr>
        <w:t xml:space="preserve"> </w:t>
      </w:r>
      <w:r w:rsidR="00C26532" w:rsidRPr="00183F8B">
        <w:rPr>
          <w:rFonts w:cs="B Nazanin" w:hint="cs"/>
          <w:sz w:val="24"/>
          <w:szCs w:val="24"/>
          <w:rtl/>
          <w:lang w:bidi="fa-IR"/>
        </w:rPr>
        <w:t xml:space="preserve"> آب صنعتی</w:t>
      </w:r>
      <w:r w:rsidR="0001148A" w:rsidRPr="00183F8B">
        <w:rPr>
          <w:rFonts w:cs="B Nazanin" w:hint="cs"/>
          <w:sz w:val="24"/>
          <w:szCs w:val="24"/>
          <w:rtl/>
          <w:lang w:bidi="fa-IR"/>
        </w:rPr>
        <w:t xml:space="preserve"> با داشتن کمترین شورابه به عنوان گزینه برتر از لحاظ فنی و زیست محیطی محسوب می شود. </w:t>
      </w:r>
      <w:r w:rsidR="00C26532" w:rsidRPr="00183F8B">
        <w:rPr>
          <w:rFonts w:cs="B Nazanin" w:hint="cs"/>
          <w:sz w:val="24"/>
          <w:szCs w:val="24"/>
          <w:rtl/>
          <w:lang w:bidi="fa-IR"/>
        </w:rPr>
        <w:t>به منظور تعیین کیفیت آب تولیدی برای مصارف صنعتی یا کشاورزی، مطابق جدول(2)، مقادیر پارامترهای کیفی خوراک ها و سهم ظرفیت هریک(شورابه اسمز معکوس برابر 33 درصد و آب خروجی از الکتروکواگولاسیون برابر 67 درصد)، اعمال گردید که نتیجه حاصله</w:t>
      </w:r>
      <w:r w:rsidR="002B6EC0" w:rsidRPr="00183F8B">
        <w:rPr>
          <w:rFonts w:cs="B Nazanin" w:hint="cs"/>
          <w:sz w:val="24"/>
          <w:szCs w:val="24"/>
          <w:rtl/>
          <w:lang w:bidi="fa-IR"/>
        </w:rPr>
        <w:t xml:space="preserve"> از این فرآیند،</w:t>
      </w:r>
      <w:r w:rsidR="00C26532" w:rsidRPr="00183F8B">
        <w:rPr>
          <w:rFonts w:cs="B Nazanin" w:hint="cs"/>
          <w:sz w:val="24"/>
          <w:szCs w:val="24"/>
          <w:rtl/>
          <w:lang w:bidi="fa-IR"/>
        </w:rPr>
        <w:t xml:space="preserve"> آب با </w:t>
      </w:r>
      <w:r w:rsidR="00C26532" w:rsidRPr="00183F8B">
        <w:rPr>
          <w:rFonts w:asciiTheme="majorBidi" w:hAnsiTheme="majorBidi" w:cstheme="majorBidi"/>
          <w:sz w:val="20"/>
          <w:szCs w:val="20"/>
          <w:lang w:bidi="fa-IR"/>
        </w:rPr>
        <w:t>TDS</w:t>
      </w:r>
      <w:r w:rsidR="00C26532" w:rsidRPr="00183F8B">
        <w:rPr>
          <w:rFonts w:cs="B Nazanin" w:hint="cs"/>
          <w:sz w:val="24"/>
          <w:szCs w:val="24"/>
          <w:rtl/>
          <w:lang w:bidi="fa-IR"/>
        </w:rPr>
        <w:t xml:space="preserve"> معادل </w:t>
      </w:r>
      <w:r w:rsidR="002B6EC0" w:rsidRPr="00183F8B">
        <w:rPr>
          <w:rFonts w:asciiTheme="majorBidi" w:hAnsiTheme="majorBidi" w:cstheme="majorBidi"/>
          <w:sz w:val="20"/>
          <w:szCs w:val="20"/>
          <w:lang w:bidi="fa-IR"/>
        </w:rPr>
        <w:t>mg/L</w:t>
      </w:r>
      <w:r w:rsidR="002B6EC0" w:rsidRPr="00183F8B">
        <w:rPr>
          <w:rFonts w:cs="B Nazanin" w:hint="cs"/>
          <w:sz w:val="24"/>
          <w:szCs w:val="24"/>
          <w:rtl/>
          <w:lang w:bidi="fa-IR"/>
        </w:rPr>
        <w:t xml:space="preserve"> 2751 می باشد که قابلیت فروش به صنعت را داشته و در صورت وجود متقاضی برای آبیاری محصولات شور پسند</w:t>
      </w:r>
      <w:r w:rsidR="00764F2E" w:rsidRPr="00183F8B">
        <w:rPr>
          <w:rFonts w:cs="B Nazanin" w:hint="cs"/>
          <w:sz w:val="24"/>
          <w:szCs w:val="24"/>
          <w:rtl/>
          <w:lang w:bidi="fa-IR"/>
        </w:rPr>
        <w:t>(از جمله پسته و سایر)</w:t>
      </w:r>
      <w:r w:rsidR="002B6EC0" w:rsidRPr="00183F8B">
        <w:rPr>
          <w:rFonts w:cs="B Nazanin" w:hint="cs"/>
          <w:sz w:val="24"/>
          <w:szCs w:val="24"/>
          <w:rtl/>
          <w:lang w:bidi="fa-IR"/>
        </w:rPr>
        <w:t xml:space="preserve"> با جذب سدیم معادل 9 و درصد سدیم برابر 65 مناسب است. </w:t>
      </w:r>
    </w:p>
    <w:p w14:paraId="7126E265" w14:textId="77777777" w:rsidR="006B7503" w:rsidRDefault="006B7503" w:rsidP="006B7503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14:paraId="7BC8219E" w14:textId="77777777" w:rsidR="006B7503" w:rsidRDefault="006B7503" w:rsidP="006B7503">
      <w:pPr>
        <w:bidi/>
        <w:spacing w:line="240" w:lineRule="auto"/>
        <w:jc w:val="both"/>
        <w:rPr>
          <w:rFonts w:cs="B Mitra"/>
          <w:sz w:val="24"/>
          <w:szCs w:val="24"/>
          <w:lang w:bidi="fa-IR"/>
        </w:rPr>
      </w:pPr>
    </w:p>
    <w:p w14:paraId="0859553F" w14:textId="77777777" w:rsidR="00305612" w:rsidRDefault="00305612" w:rsidP="00305612">
      <w:pPr>
        <w:bidi/>
        <w:spacing w:line="240" w:lineRule="auto"/>
        <w:jc w:val="both"/>
        <w:rPr>
          <w:rFonts w:cs="B Mitra"/>
          <w:sz w:val="24"/>
          <w:szCs w:val="24"/>
          <w:lang w:bidi="fa-IR"/>
        </w:rPr>
      </w:pPr>
    </w:p>
    <w:p w14:paraId="6627FCF8" w14:textId="77777777" w:rsidR="00305612" w:rsidRDefault="00305612" w:rsidP="00305612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14:paraId="47BE9E03" w14:textId="77777777" w:rsidR="006B7503" w:rsidRDefault="006B7503" w:rsidP="006B7503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14:paraId="76C0BD6A" w14:textId="77777777" w:rsidR="006B7503" w:rsidRDefault="006B7503" w:rsidP="006B7503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14:paraId="5B2F9407" w14:textId="77777777" w:rsidR="006B7503" w:rsidRDefault="006B7503" w:rsidP="006B7503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14:paraId="4B4EA895" w14:textId="77777777" w:rsidR="006B7503" w:rsidRDefault="006B7503" w:rsidP="006B7503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14:paraId="23A64661" w14:textId="77777777" w:rsidR="006B7503" w:rsidRDefault="006B7503" w:rsidP="006B7503">
      <w:pPr>
        <w:bidi/>
        <w:spacing w:line="240" w:lineRule="auto"/>
        <w:jc w:val="both"/>
        <w:rPr>
          <w:rFonts w:cs="B Mitra"/>
          <w:sz w:val="24"/>
          <w:szCs w:val="24"/>
          <w:lang w:bidi="fa-IR"/>
        </w:rPr>
      </w:pPr>
    </w:p>
    <w:p w14:paraId="2720A0F1" w14:textId="77777777" w:rsidR="00305612" w:rsidRDefault="00305612" w:rsidP="00305612">
      <w:pPr>
        <w:bidi/>
        <w:spacing w:line="240" w:lineRule="auto"/>
        <w:jc w:val="both"/>
        <w:rPr>
          <w:rFonts w:cs="B Mitra"/>
          <w:sz w:val="24"/>
          <w:szCs w:val="24"/>
          <w:lang w:bidi="fa-IR"/>
        </w:rPr>
      </w:pPr>
    </w:p>
    <w:p w14:paraId="182CAFD0" w14:textId="029D0625" w:rsidR="002C25F4" w:rsidRPr="00183F8B" w:rsidRDefault="002C25F4" w:rsidP="00183F8B">
      <w:pPr>
        <w:bidi/>
        <w:spacing w:line="240" w:lineRule="auto"/>
        <w:jc w:val="center"/>
        <w:rPr>
          <w:rFonts w:ascii="Calibri" w:eastAsia="Calibri" w:hAnsi="Calibri" w:cs="B Mitra"/>
          <w:lang w:bidi="fa-IR"/>
        </w:rPr>
      </w:pPr>
      <w:r w:rsidRPr="00183F8B">
        <w:rPr>
          <w:rFonts w:ascii="Calibri" w:eastAsia="Calibri" w:hAnsi="Calibri" w:cs="B Mitra" w:hint="cs"/>
          <w:rtl/>
          <w:lang w:bidi="fa-IR"/>
        </w:rPr>
        <w:lastRenderedPageBreak/>
        <w:t>جدول(2)- کیفیت آب اختلاط شده برای مصارف</w:t>
      </w:r>
      <w:r w:rsidR="003827FB" w:rsidRPr="00183F8B">
        <w:rPr>
          <w:rFonts w:ascii="Calibri" w:eastAsia="Calibri" w:hAnsi="Calibri" w:cs="B Mitra" w:hint="cs"/>
          <w:rtl/>
          <w:lang w:bidi="fa-IR"/>
        </w:rPr>
        <w:t xml:space="preserve"> صنعتی یا</w:t>
      </w:r>
      <w:r w:rsidRPr="00183F8B">
        <w:rPr>
          <w:rFonts w:ascii="Calibri" w:eastAsia="Calibri" w:hAnsi="Calibri" w:cs="B Mitra" w:hint="cs"/>
          <w:rtl/>
          <w:lang w:bidi="fa-IR"/>
        </w:rPr>
        <w:t xml:space="preserve"> کشاورزی</w:t>
      </w:r>
      <w:r w:rsidRPr="00183F8B">
        <w:rPr>
          <w:rFonts w:ascii="Calibri" w:eastAsia="Calibri" w:hAnsi="Calibri" w:cs="B Mitra"/>
          <w:rtl/>
          <w:lang w:bidi="fa-IR"/>
        </w:rPr>
        <w:br/>
      </w:r>
      <w:r w:rsidRPr="00183F8B">
        <w:rPr>
          <w:rFonts w:ascii="Calibri" w:eastAsia="Calibri" w:hAnsi="Calibri" w:cs="B Mitra" w:hint="cs"/>
          <w:rtl/>
          <w:lang w:bidi="fa-IR"/>
        </w:rPr>
        <w:t xml:space="preserve"> (با نسبت اختلاط </w:t>
      </w:r>
      <w:r w:rsidR="00764F2E" w:rsidRPr="00183F8B">
        <w:rPr>
          <w:rFonts w:ascii="Calibri" w:eastAsia="Calibri" w:hAnsi="Calibri" w:cs="B Mitra" w:hint="cs"/>
          <w:rtl/>
          <w:lang w:bidi="fa-IR"/>
        </w:rPr>
        <w:t>67</w:t>
      </w:r>
      <w:r w:rsidRPr="00183F8B">
        <w:rPr>
          <w:rFonts w:ascii="Calibri" w:eastAsia="Calibri" w:hAnsi="Calibri" w:cs="B Mitra" w:hint="cs"/>
          <w:rtl/>
          <w:lang w:bidi="fa-IR"/>
        </w:rPr>
        <w:t xml:space="preserve"> درصد آب خروجی از فرآیند الکتروکواگولاسیون با </w:t>
      </w:r>
      <w:r w:rsidR="00764F2E" w:rsidRPr="00183F8B">
        <w:rPr>
          <w:rFonts w:ascii="Calibri" w:eastAsia="Calibri" w:hAnsi="Calibri" w:cs="B Mitra" w:hint="cs"/>
          <w:rtl/>
          <w:lang w:bidi="fa-IR"/>
        </w:rPr>
        <w:t>33</w:t>
      </w:r>
      <w:r w:rsidRPr="00183F8B">
        <w:rPr>
          <w:rFonts w:ascii="Calibri" w:eastAsia="Calibri" w:hAnsi="Calibri" w:cs="B Mitra" w:hint="cs"/>
          <w:rtl/>
          <w:lang w:bidi="fa-IR"/>
        </w:rPr>
        <w:t xml:space="preserve"> درصد شورابه اسمز معکوس یک مرحله ای)</w:t>
      </w:r>
    </w:p>
    <w:tbl>
      <w:tblPr>
        <w:tblW w:w="10620" w:type="dxa"/>
        <w:tblInd w:w="-645" w:type="dxa"/>
        <w:tblLayout w:type="fixed"/>
        <w:tblLook w:val="04A0" w:firstRow="1" w:lastRow="0" w:firstColumn="1" w:lastColumn="0" w:noHBand="0" w:noVBand="1"/>
      </w:tblPr>
      <w:tblGrid>
        <w:gridCol w:w="1170"/>
        <w:gridCol w:w="990"/>
        <w:gridCol w:w="990"/>
        <w:gridCol w:w="1170"/>
        <w:gridCol w:w="1350"/>
        <w:gridCol w:w="1350"/>
        <w:gridCol w:w="1170"/>
        <w:gridCol w:w="1080"/>
        <w:gridCol w:w="1350"/>
      </w:tblGrid>
      <w:tr w:rsidR="0001148A" w:rsidRPr="00C31B1E" w14:paraId="03D0ED3B" w14:textId="77777777" w:rsidTr="00183F8B">
        <w:trPr>
          <w:trHeight w:val="1284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6DBEC528" w14:textId="77777777" w:rsidR="0001148A" w:rsidRPr="00183F8B" w:rsidRDefault="0001148A" w:rsidP="004F758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Parameters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A9E8757" w14:textId="5D016D97" w:rsidR="0001148A" w:rsidRPr="00183F8B" w:rsidRDefault="0001148A" w:rsidP="00382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br/>
              <w:t xml:space="preserve">  Quality treated brackish water by SBERs 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br/>
              <w:t>mg/L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EBAFF87" w14:textId="1AD623E2" w:rsidR="0001148A" w:rsidRPr="00183F8B" w:rsidRDefault="0001148A" w:rsidP="003827F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br/>
              <w:t xml:space="preserve"> Quality brine of 1-stage  RO 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br/>
              <w:t>mg/L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6E9BF9A" w14:textId="2A6AE1F0" w:rsidR="0001148A" w:rsidRPr="00183F8B" w:rsidRDefault="002C25F4" w:rsidP="004F758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Equivalent</w:t>
            </w:r>
            <w:r w:rsidR="0001148A" w:rsidRPr="00183F8B">
              <w:rPr>
                <w:rFonts w:asciiTheme="majorBidi" w:hAnsiTheme="majorBidi" w:cstheme="majorBidi" w:hint="cs"/>
                <w:sz w:val="20"/>
                <w:szCs w:val="20"/>
              </w:rPr>
              <w:br/>
              <w:t>M/n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0683D73" w14:textId="616A75D3" w:rsidR="0001148A" w:rsidRPr="00183F8B" w:rsidRDefault="0001148A" w:rsidP="004F758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Quality</w:t>
            </w:r>
            <w:r w:rsidR="002C25F4" w:rsidRPr="00183F8B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 xml:space="preserve"> treated brackish water by SBERs for blending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br/>
              <w:t>meq/L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A0A620E" w14:textId="77777777" w:rsidR="0001148A" w:rsidRPr="00183F8B" w:rsidRDefault="0001148A" w:rsidP="004F758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br/>
              <w:t>Quality brine of 1-stage  RO for blending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br/>
              <w:t>meq/L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B60A7E7" w14:textId="77777777" w:rsidR="0001148A" w:rsidRPr="00183F8B" w:rsidRDefault="0001148A" w:rsidP="004F758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Flow ratio  for blending- Treated brackish water by SBERs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6160337" w14:textId="7122F583" w:rsidR="0001148A" w:rsidRPr="00183F8B" w:rsidRDefault="0001148A" w:rsidP="004F758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Flow ratio  for blending- Brine of</w:t>
            </w:r>
            <w:r w:rsidR="001707FB" w:rsidRPr="00183F8B">
              <w:rPr>
                <w:rFonts w:asciiTheme="majorBidi" w:hAnsiTheme="majorBidi" w:cstheme="majorBidi"/>
                <w:sz w:val="20"/>
                <w:szCs w:val="20"/>
                <w:rtl/>
              </w:rPr>
              <w:br/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 xml:space="preserve"> 1-stage of RO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D9C4"/>
            <w:vAlign w:val="center"/>
            <w:hideMark/>
          </w:tcPr>
          <w:p w14:paraId="05861499" w14:textId="77777777" w:rsidR="0001148A" w:rsidRPr="00183F8B" w:rsidRDefault="0001148A" w:rsidP="004F758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Quality of blending</w:t>
            </w:r>
          </w:p>
        </w:tc>
      </w:tr>
      <w:tr w:rsidR="00305612" w:rsidRPr="00C31B1E" w14:paraId="2A33A9B5" w14:textId="77777777" w:rsidTr="00183F8B">
        <w:trPr>
          <w:trHeight w:val="36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99407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Ca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08EBC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09300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467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417AB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20.05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CC0D9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2.793017456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EFCC4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23.29177057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3C8AD" w14:textId="6CB962C2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6725C" w14:textId="67266FD1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6E0146" w14:textId="1992EE88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9.557605985</w:t>
            </w:r>
          </w:p>
        </w:tc>
      </w:tr>
      <w:tr w:rsidR="00305612" w:rsidRPr="00C31B1E" w14:paraId="04A5B446" w14:textId="77777777" w:rsidTr="00183F8B">
        <w:trPr>
          <w:trHeight w:val="36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23EFA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Mg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6B577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C7C5C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B9F00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12.15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AB14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0.864197531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2DD35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5.679012346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AD03E9" w14:textId="00A9A225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7BCA53" w14:textId="4D6E486F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0DB356" w14:textId="0023C76E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2.45308642</w:t>
            </w:r>
          </w:p>
        </w:tc>
      </w:tr>
      <w:tr w:rsidR="00305612" w:rsidRPr="00C31B1E" w14:paraId="2C2F93EB" w14:textId="77777777" w:rsidTr="00183F8B">
        <w:trPr>
          <w:trHeight w:val="36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1A696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Na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0BB6F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35D3A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1293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C53FC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EC330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5.434782609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2DDB4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56.2173913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A0375A" w14:textId="469DB7BC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78665D" w14:textId="473CCAE8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FBE28F" w14:textId="4AF8923D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22.19304348</w:t>
            </w:r>
          </w:p>
        </w:tc>
      </w:tr>
      <w:tr w:rsidR="00305612" w:rsidRPr="00C31B1E" w14:paraId="5D04BDCC" w14:textId="77777777" w:rsidTr="00183F8B">
        <w:trPr>
          <w:trHeight w:val="36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A5D89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K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32F55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B8C32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7.6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E3C79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39.1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2AD6D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0.030690537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3DC4D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0.194373402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F76E87" w14:textId="783C1AF9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583B36" w14:textId="15045C09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E45E5C" w14:textId="02C44FEC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0.084705882</w:t>
            </w:r>
          </w:p>
        </w:tc>
      </w:tr>
      <w:tr w:rsidR="00305612" w:rsidRPr="00C31B1E" w14:paraId="377DAB54" w14:textId="77777777" w:rsidTr="00183F8B">
        <w:trPr>
          <w:trHeight w:val="36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214CD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Cl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  <w:vertAlign w:val="superscript"/>
              </w:rPr>
              <w:t>−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4C034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201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E92E2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2113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5DC05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35.5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65F4C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5.661971831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291EA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59.52112676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24BDC2" w14:textId="1E87B7F9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90B025" w14:textId="6518B562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C227CC" w14:textId="267280BB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23.43549296</w:t>
            </w:r>
          </w:p>
        </w:tc>
      </w:tr>
      <w:tr w:rsidR="00305612" w:rsidRPr="00C31B1E" w14:paraId="0A9B85FE" w14:textId="77777777" w:rsidTr="00183F8B">
        <w:trPr>
          <w:trHeight w:val="36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296C5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SO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EFAEE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D3D93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00453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48.05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2A86A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1.415192508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3B030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23.14255983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9B1ECB" w14:textId="210953DD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F9273D" w14:textId="35392EAE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6332AA" w14:textId="3CE3E165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8.585223725</w:t>
            </w:r>
          </w:p>
        </w:tc>
      </w:tr>
      <w:tr w:rsidR="00305612" w:rsidRPr="00C31B1E" w14:paraId="66F0FA47" w14:textId="77777777" w:rsidTr="00183F8B">
        <w:trPr>
          <w:trHeight w:val="360"/>
        </w:trPr>
        <w:tc>
          <w:tcPr>
            <w:tcW w:w="1170" w:type="dxa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19C6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HCO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972C1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44E4D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CA0F0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6DD2C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0.360655738</w:t>
            </w:r>
          </w:p>
        </w:tc>
        <w:tc>
          <w:tcPr>
            <w:tcW w:w="13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FAD7D" w14:textId="77777777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1.360655738</w:t>
            </w:r>
          </w:p>
        </w:tc>
        <w:tc>
          <w:tcPr>
            <w:tcW w:w="11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8CF5958" w14:textId="08F7F0CC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0.67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A36301" w14:textId="0E70671C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135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19F5A2" w14:textId="059FD4E3" w:rsidR="00305612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0.690655738</w:t>
            </w:r>
          </w:p>
        </w:tc>
      </w:tr>
      <w:tr w:rsidR="0001148A" w:rsidRPr="00C31B1E" w14:paraId="054B6168" w14:textId="77777777" w:rsidTr="001707FB">
        <w:trPr>
          <w:trHeight w:val="360"/>
        </w:trPr>
        <w:tc>
          <w:tcPr>
            <w:tcW w:w="10620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5BE58FF" w14:textId="77777777" w:rsidR="0001148A" w:rsidRPr="00183F8B" w:rsidRDefault="0001148A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Electrical conductivity in terms of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183F8B">
              <w:rPr>
                <w:rFonts w:asciiTheme="majorBidi" w:hAnsiTheme="majorBidi" w:cstheme="majorBidi"/>
                <w:sz w:val="20"/>
                <w:szCs w:val="20"/>
              </w:rPr>
              <w:t>μmhos/ cm</w:t>
            </w:r>
            <w:r w:rsidRPr="00183F8B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</w:t>
            </w:r>
          </w:p>
          <w:p w14:paraId="32691B5C" w14:textId="77777777" w:rsidR="0001148A" w:rsidRPr="00183F8B" w:rsidRDefault="0001148A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1148A" w:rsidRPr="00C31B1E" w14:paraId="6EB746AD" w14:textId="77777777" w:rsidTr="00183F8B">
        <w:trPr>
          <w:trHeight w:val="36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4831C" w14:textId="77777777" w:rsidR="0001148A" w:rsidRPr="00183F8B" w:rsidRDefault="0001148A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EC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6A914" w14:textId="77777777" w:rsidR="0001148A" w:rsidRPr="00183F8B" w:rsidRDefault="0001148A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1036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115149" w14:textId="77777777" w:rsidR="0001148A" w:rsidRPr="00183F8B" w:rsidRDefault="0001148A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8319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684260" w14:textId="77777777" w:rsidR="0001148A" w:rsidRPr="00183F8B" w:rsidRDefault="0001148A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C72315" w14:textId="77777777" w:rsidR="0001148A" w:rsidRPr="00183F8B" w:rsidRDefault="0001148A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99BE0A" w14:textId="77777777" w:rsidR="0001148A" w:rsidRPr="00183F8B" w:rsidRDefault="0001148A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C3E33" w14:textId="2E266B9F" w:rsidR="0001148A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8B300C" w14:textId="3FDBC0EF" w:rsidR="0001148A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BF3094" w14:textId="33EB1DF8" w:rsidR="0001148A" w:rsidRPr="00183F8B" w:rsidRDefault="00305612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3439.39</w:t>
            </w:r>
          </w:p>
        </w:tc>
      </w:tr>
      <w:tr w:rsidR="0003058B" w:rsidRPr="00C31B1E" w14:paraId="57D93711" w14:textId="77777777" w:rsidTr="00183F8B">
        <w:trPr>
          <w:trHeight w:val="36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F3B6F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SAR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7CA0C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_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EF517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_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5F2E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_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929CD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_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558E4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_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FFE3D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95B15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_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07DDEA" w14:textId="69B439D0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9.056238252</w:t>
            </w:r>
          </w:p>
        </w:tc>
      </w:tr>
      <w:tr w:rsidR="0003058B" w:rsidRPr="00C31B1E" w14:paraId="0E687D1C" w14:textId="77777777" w:rsidTr="00183F8B">
        <w:trPr>
          <w:trHeight w:val="375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277F1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 w:hint="cs"/>
                <w:sz w:val="20"/>
                <w:szCs w:val="20"/>
              </w:rPr>
              <w:t>Na%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408E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93F8F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81EBA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F8DE1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2AF14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370E6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1134" w14:textId="77777777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F3D612" w14:textId="1B89B840" w:rsidR="0003058B" w:rsidRPr="00183F8B" w:rsidRDefault="0003058B" w:rsidP="00183F8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F8B">
              <w:rPr>
                <w:rFonts w:asciiTheme="majorBidi" w:hAnsiTheme="majorBidi" w:cstheme="majorBidi"/>
                <w:sz w:val="20"/>
                <w:szCs w:val="20"/>
              </w:rPr>
              <w:t>64.97160038</w:t>
            </w:r>
          </w:p>
        </w:tc>
      </w:tr>
    </w:tbl>
    <w:p w14:paraId="5994455B" w14:textId="77777777" w:rsidR="0001148A" w:rsidRDefault="0001148A" w:rsidP="0001148A">
      <w:pPr>
        <w:bidi/>
        <w:spacing w:line="240" w:lineRule="auto"/>
        <w:jc w:val="both"/>
        <w:rPr>
          <w:rFonts w:cs="B Mitra"/>
          <w:sz w:val="24"/>
          <w:szCs w:val="24"/>
          <w:lang w:bidi="fa-IR"/>
        </w:rPr>
      </w:pPr>
    </w:p>
    <w:p w14:paraId="19B0D045" w14:textId="77777777" w:rsidR="005F1C25" w:rsidRDefault="005F1C25" w:rsidP="0001148A">
      <w:pPr>
        <w:shd w:val="clear" w:color="auto" w:fill="FFFFFF" w:themeFill="background1"/>
        <w:bidi/>
        <w:spacing w:after="0" w:line="360" w:lineRule="auto"/>
        <w:jc w:val="lowKashida"/>
        <w:rPr>
          <w:rFonts w:cs="B Mitra"/>
          <w:b/>
          <w:bCs/>
          <w:sz w:val="24"/>
          <w:szCs w:val="24"/>
          <w:rtl/>
          <w:lang w:bidi="fa-IR"/>
        </w:rPr>
      </w:pPr>
    </w:p>
    <w:p w14:paraId="4BD1E1D1" w14:textId="77777777" w:rsidR="006B7503" w:rsidRDefault="006B7503" w:rsidP="006B7503">
      <w:pPr>
        <w:shd w:val="clear" w:color="auto" w:fill="FFFFFF" w:themeFill="background1"/>
        <w:bidi/>
        <w:spacing w:after="0" w:line="360" w:lineRule="auto"/>
        <w:jc w:val="lowKashida"/>
        <w:rPr>
          <w:rFonts w:cs="B Mitra"/>
          <w:b/>
          <w:bCs/>
          <w:sz w:val="24"/>
          <w:szCs w:val="24"/>
          <w:rtl/>
          <w:lang w:bidi="fa-IR"/>
        </w:rPr>
      </w:pPr>
    </w:p>
    <w:p w14:paraId="4DD0F846" w14:textId="77777777" w:rsidR="006B7503" w:rsidRDefault="006B7503" w:rsidP="006B7503">
      <w:pPr>
        <w:shd w:val="clear" w:color="auto" w:fill="FFFFFF" w:themeFill="background1"/>
        <w:bidi/>
        <w:spacing w:after="0" w:line="360" w:lineRule="auto"/>
        <w:jc w:val="lowKashida"/>
        <w:rPr>
          <w:rFonts w:cs="B Mitra"/>
          <w:b/>
          <w:bCs/>
          <w:sz w:val="24"/>
          <w:szCs w:val="24"/>
          <w:rtl/>
          <w:lang w:bidi="fa-IR"/>
        </w:rPr>
      </w:pPr>
    </w:p>
    <w:p w14:paraId="64D17E1A" w14:textId="77777777" w:rsidR="006B7503" w:rsidRDefault="006B7503" w:rsidP="006B7503">
      <w:pPr>
        <w:shd w:val="clear" w:color="auto" w:fill="FFFFFF" w:themeFill="background1"/>
        <w:bidi/>
        <w:spacing w:after="0" w:line="360" w:lineRule="auto"/>
        <w:jc w:val="lowKashida"/>
        <w:rPr>
          <w:rFonts w:cs="B Mitra"/>
          <w:b/>
          <w:bCs/>
          <w:sz w:val="24"/>
          <w:szCs w:val="24"/>
          <w:rtl/>
          <w:lang w:bidi="fa-IR"/>
        </w:rPr>
      </w:pPr>
    </w:p>
    <w:p w14:paraId="53DFA221" w14:textId="77777777" w:rsidR="006B7503" w:rsidRDefault="006B7503" w:rsidP="006B7503">
      <w:pPr>
        <w:shd w:val="clear" w:color="auto" w:fill="FFFFFF" w:themeFill="background1"/>
        <w:bidi/>
        <w:spacing w:after="0" w:line="360" w:lineRule="auto"/>
        <w:jc w:val="lowKashida"/>
        <w:rPr>
          <w:rFonts w:cs="B Mitra"/>
          <w:b/>
          <w:bCs/>
          <w:sz w:val="24"/>
          <w:szCs w:val="24"/>
          <w:rtl/>
          <w:lang w:bidi="fa-IR"/>
        </w:rPr>
      </w:pPr>
    </w:p>
    <w:p w14:paraId="6C7B7C44" w14:textId="325AE8EC" w:rsidR="00764F2E" w:rsidRDefault="0081297E" w:rsidP="006B7503">
      <w:pPr>
        <w:shd w:val="clear" w:color="auto" w:fill="FFFFFF" w:themeFill="background1"/>
        <w:bidi/>
        <w:spacing w:after="0" w:line="360" w:lineRule="auto"/>
        <w:jc w:val="lowKashida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</w:rPr>
        <w:drawing>
          <wp:inline distT="0" distB="0" distL="0" distR="0" wp14:anchorId="64A68365" wp14:editId="13758BD1">
            <wp:extent cx="5943600" cy="7000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0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AC1BB" w14:textId="56FA26C7" w:rsidR="006B7503" w:rsidRDefault="006B7503" w:rsidP="00183F8B">
      <w:pPr>
        <w:bidi/>
        <w:spacing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183F8B">
        <w:rPr>
          <w:rFonts w:ascii="Calibri" w:eastAsia="Calibri" w:hAnsi="Calibri" w:cs="B Mitra" w:hint="cs"/>
          <w:rtl/>
          <w:lang w:bidi="fa-IR"/>
        </w:rPr>
        <w:t>تصویر(1)- گزینه های مختلف نمک زدایی و تصفیه شورابه طرح توسعه سامانه نمک زدایی مورد مطالعه</w:t>
      </w:r>
    </w:p>
    <w:sectPr w:rsidR="006B7503" w:rsidSect="00E57F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90C8B" w16cex:dateUtc="2022-03-01T17:50:00Z"/>
  <w16cex:commentExtensible w16cex:durableId="25C90D43" w16cex:dateUtc="2022-03-01T17:53:00Z"/>
  <w16cex:commentExtensible w16cex:durableId="25C90CEC" w16cex:dateUtc="2022-03-01T17:51:00Z"/>
  <w16cex:commentExtensible w16cex:durableId="25C90D72" w16cex:dateUtc="2022-03-01T17:54:00Z"/>
  <w16cex:commentExtensible w16cex:durableId="25C90DBB" w16cex:dateUtc="2022-03-01T17:55:00Z"/>
  <w16cex:commentExtensible w16cex:durableId="25C90E35" w16cex:dateUtc="2022-03-01T17:57:00Z"/>
  <w16cex:commentExtensible w16cex:durableId="25C90E9F" w16cex:dateUtc="2022-03-01T17:59:00Z"/>
  <w16cex:commentExtensible w16cex:durableId="25C90EB2" w16cex:dateUtc="2022-03-01T17:59:00Z"/>
  <w16cex:commentExtensible w16cex:durableId="25C90EE0" w16cex:dateUtc="2022-03-01T18:00:00Z"/>
  <w16cex:commentExtensible w16cex:durableId="25C90EEB" w16cex:dateUtc="2022-03-01T18:00:00Z"/>
  <w16cex:commentExtensible w16cex:durableId="25C90F66" w16cex:dateUtc="2022-03-01T18:02:00Z"/>
  <w16cex:commentExtensible w16cex:durableId="25C90F2E" w16cex:dateUtc="2022-03-01T18:01:00Z"/>
  <w16cex:commentExtensible w16cex:durableId="25C90F1C" w16cex:dateUtc="2022-03-01T18:01:00Z"/>
  <w16cex:commentExtensible w16cex:durableId="25C90F4F" w16cex:dateUtc="2022-03-01T18:01:00Z"/>
  <w16cex:commentExtensible w16cex:durableId="25C90FA7" w16cex:dateUtc="2022-03-01T18:03:00Z"/>
  <w16cex:commentExtensible w16cex:durableId="25C90FBB" w16cex:dateUtc="2022-03-01T18:03:00Z"/>
  <w16cex:commentExtensible w16cex:durableId="25C90FC6" w16cex:dateUtc="2022-03-01T18:03:00Z"/>
  <w16cex:commentExtensible w16cex:durableId="25C90FF0" w16cex:dateUtc="2022-03-01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0BD38" w16cid:durableId="25C90C8B"/>
  <w16cid:commentId w16cid:paraId="6C41028E" w16cid:durableId="25C90D43"/>
  <w16cid:commentId w16cid:paraId="6FA89110" w16cid:durableId="25C90CEC"/>
  <w16cid:commentId w16cid:paraId="178A1564" w16cid:durableId="25C90D72"/>
  <w16cid:commentId w16cid:paraId="686BEA05" w16cid:durableId="25C90DBB"/>
  <w16cid:commentId w16cid:paraId="02227251" w16cid:durableId="25C90E35"/>
  <w16cid:commentId w16cid:paraId="3C1BEE4C" w16cid:durableId="25C90E9F"/>
  <w16cid:commentId w16cid:paraId="7E176DA2" w16cid:durableId="25C90EB2"/>
  <w16cid:commentId w16cid:paraId="0BFFC5ED" w16cid:durableId="25C90EE0"/>
  <w16cid:commentId w16cid:paraId="5E0B22CA" w16cid:durableId="25C90EEB"/>
  <w16cid:commentId w16cid:paraId="79BD9DFC" w16cid:durableId="25C90F66"/>
  <w16cid:commentId w16cid:paraId="10E0868C" w16cid:durableId="25C90F2E"/>
  <w16cid:commentId w16cid:paraId="55426153" w16cid:durableId="25C90F1C"/>
  <w16cid:commentId w16cid:paraId="0B1A9353" w16cid:durableId="25C90F4F"/>
  <w16cid:commentId w16cid:paraId="1984C592" w16cid:durableId="25C90FA7"/>
  <w16cid:commentId w16cid:paraId="25078AFC" w16cid:durableId="25C90FBB"/>
  <w16cid:commentId w16cid:paraId="6B61A4DB" w16cid:durableId="25C90FC6"/>
  <w16cid:commentId w16cid:paraId="228E0A2D" w16cid:durableId="25C90F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DA544" w14:textId="77777777" w:rsidR="00EF0DC2" w:rsidRDefault="00EF0DC2" w:rsidP="00930772">
      <w:pPr>
        <w:spacing w:after="0" w:line="240" w:lineRule="auto"/>
      </w:pPr>
      <w:r>
        <w:separator/>
      </w:r>
    </w:p>
  </w:endnote>
  <w:endnote w:type="continuationSeparator" w:id="0">
    <w:p w14:paraId="27B3BA37" w14:textId="77777777" w:rsidR="00EF0DC2" w:rsidRDefault="00EF0DC2" w:rsidP="0093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ali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F5982" w14:textId="77777777" w:rsidR="00C26532" w:rsidRDefault="00C265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09858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49846" w14:textId="3643E82A" w:rsidR="00C26532" w:rsidRDefault="00C26532" w:rsidP="00D01E98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6FE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31027D3A" w14:textId="77777777" w:rsidR="00C26532" w:rsidRDefault="00C265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8D6B0" w14:textId="77777777" w:rsidR="00C26532" w:rsidRDefault="00C26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68309" w14:textId="77777777" w:rsidR="00EF0DC2" w:rsidRDefault="00EF0DC2" w:rsidP="00930772">
      <w:pPr>
        <w:spacing w:after="0" w:line="240" w:lineRule="auto"/>
      </w:pPr>
      <w:r>
        <w:separator/>
      </w:r>
    </w:p>
  </w:footnote>
  <w:footnote w:type="continuationSeparator" w:id="0">
    <w:p w14:paraId="5A5CD0D7" w14:textId="77777777" w:rsidR="00EF0DC2" w:rsidRDefault="00EF0DC2" w:rsidP="00930772">
      <w:pPr>
        <w:spacing w:after="0" w:line="240" w:lineRule="auto"/>
      </w:pPr>
      <w:r>
        <w:continuationSeparator/>
      </w:r>
    </w:p>
  </w:footnote>
  <w:footnote w:id="1">
    <w:p w14:paraId="5A496008" w14:textId="390D57BF" w:rsidR="00C26532" w:rsidRDefault="00C26532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C31B1E">
        <w:rPr>
          <w:rFonts w:asciiTheme="majorBidi" w:hAnsiTheme="majorBidi" w:cs="B Mitra"/>
          <w:szCs w:val="24"/>
          <w:lang w:bidi="fa-IR"/>
        </w:rPr>
        <w:t xml:space="preserve">First </w:t>
      </w:r>
      <w:r>
        <w:rPr>
          <w:rFonts w:asciiTheme="majorBidi" w:hAnsiTheme="majorBidi" w:cs="B Mitra"/>
          <w:szCs w:val="24"/>
          <w:lang w:val="en-US" w:bidi="fa-IR"/>
        </w:rPr>
        <w:t>A</w:t>
      </w:r>
      <w:r w:rsidRPr="00C31B1E">
        <w:rPr>
          <w:rFonts w:asciiTheme="majorBidi" w:hAnsiTheme="majorBidi" w:cs="B Mitra"/>
          <w:szCs w:val="24"/>
          <w:lang w:bidi="fa-IR"/>
        </w:rPr>
        <w:t>lternative :1</w:t>
      </w:r>
      <w:r w:rsidRPr="00C31B1E">
        <w:rPr>
          <w:rFonts w:asciiTheme="majorBidi" w:hAnsiTheme="majorBidi" w:cs="B Mitra"/>
          <w:szCs w:val="24"/>
          <w:vertAlign w:val="superscript"/>
          <w:lang w:bidi="fa-IR"/>
        </w:rPr>
        <w:t>st</w:t>
      </w:r>
      <w:r w:rsidRPr="00C31B1E">
        <w:rPr>
          <w:rFonts w:asciiTheme="majorBidi" w:hAnsiTheme="majorBidi" w:cs="B Mitra"/>
          <w:szCs w:val="24"/>
          <w:lang w:bidi="fa-IR"/>
        </w:rPr>
        <w:t xml:space="preserve"> stage RO – 2</w:t>
      </w:r>
      <w:r w:rsidRPr="00C31B1E">
        <w:rPr>
          <w:rFonts w:asciiTheme="majorBidi" w:hAnsiTheme="majorBidi" w:cs="B Mitra"/>
          <w:szCs w:val="24"/>
          <w:vertAlign w:val="superscript"/>
          <w:lang w:bidi="fa-IR"/>
        </w:rPr>
        <w:t>nd</w:t>
      </w:r>
      <w:r w:rsidRPr="00C31B1E">
        <w:rPr>
          <w:rFonts w:asciiTheme="majorBidi" w:hAnsiTheme="majorBidi" w:cs="B Mitra"/>
          <w:szCs w:val="24"/>
          <w:lang w:bidi="fa-IR"/>
        </w:rPr>
        <w:t xml:space="preserve"> stage RO</w:t>
      </w:r>
    </w:p>
  </w:footnote>
  <w:footnote w:id="2">
    <w:p w14:paraId="5D4F43BA" w14:textId="019B2BA4" w:rsidR="00C26532" w:rsidRDefault="00C26532" w:rsidP="00B35459">
      <w:pPr>
        <w:pStyle w:val="EndNoteBibliography"/>
        <w:spacing w:after="0"/>
        <w:ind w:left="720" w:hanging="72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47AB0">
        <w:rPr>
          <w:rFonts w:asciiTheme="majorBidi" w:hAnsiTheme="majorBidi" w:cs="B Mitra"/>
          <w:szCs w:val="24"/>
          <w:lang w:bidi="fa-IR"/>
        </w:rPr>
        <w:t xml:space="preserve">Second </w:t>
      </w:r>
      <w:r>
        <w:rPr>
          <w:rFonts w:asciiTheme="majorBidi" w:hAnsiTheme="majorBidi" w:cs="B Mitra"/>
          <w:szCs w:val="24"/>
          <w:lang w:val="en-US" w:bidi="fa-IR"/>
        </w:rPr>
        <w:t>A</w:t>
      </w:r>
      <w:r w:rsidRPr="00947AB0">
        <w:rPr>
          <w:rFonts w:asciiTheme="majorBidi" w:hAnsiTheme="majorBidi" w:cs="B Mitra"/>
          <w:szCs w:val="24"/>
          <w:lang w:bidi="fa-IR"/>
        </w:rPr>
        <w:t>lternative :1st stage RO – SBER</w:t>
      </w:r>
      <w:r w:rsidRPr="00854686">
        <w:rPr>
          <w:rFonts w:asciiTheme="majorBidi" w:hAnsiTheme="majorBidi" w:cs="B Mitra"/>
          <w:szCs w:val="24"/>
          <w:vertAlign w:val="subscript"/>
          <w:lang w:bidi="fa-IR"/>
        </w:rPr>
        <w:t>S</w:t>
      </w:r>
      <w:r w:rsidRPr="00947AB0">
        <w:rPr>
          <w:rFonts w:asciiTheme="majorBidi" w:hAnsiTheme="majorBidi" w:cs="B Mitra" w:hint="cs"/>
          <w:szCs w:val="24"/>
          <w:rtl/>
          <w:lang w:bidi="fa-IR"/>
        </w:rPr>
        <w:t xml:space="preserve"> </w:t>
      </w:r>
      <w:r w:rsidRPr="00947AB0">
        <w:rPr>
          <w:rFonts w:asciiTheme="majorBidi" w:hAnsiTheme="majorBidi" w:cs="B Mitra"/>
          <w:szCs w:val="24"/>
          <w:lang w:bidi="fa-IR"/>
        </w:rPr>
        <w:t xml:space="preserve"> and Conventional Treatment – 2nd stage RO</w:t>
      </w:r>
    </w:p>
  </w:footnote>
  <w:footnote w:id="3">
    <w:p w14:paraId="6FC03999" w14:textId="77777777" w:rsidR="00C26532" w:rsidRPr="00947AB0" w:rsidRDefault="00C26532" w:rsidP="00B35459">
      <w:pPr>
        <w:pStyle w:val="EndNoteBibliography"/>
        <w:spacing w:after="0"/>
        <w:ind w:left="720" w:hanging="720"/>
        <w:rPr>
          <w:rFonts w:asciiTheme="majorBidi" w:hAnsiTheme="majorBidi" w:cs="B Mitra"/>
          <w:szCs w:val="24"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47AB0">
        <w:rPr>
          <w:rFonts w:asciiTheme="majorBidi" w:hAnsiTheme="majorBidi" w:cs="B Mitra"/>
          <w:szCs w:val="24"/>
          <w:lang w:bidi="fa-IR"/>
        </w:rPr>
        <w:t xml:space="preserve">Third </w:t>
      </w:r>
      <w:r>
        <w:rPr>
          <w:rFonts w:asciiTheme="majorBidi" w:hAnsiTheme="majorBidi" w:cs="B Mitra"/>
          <w:szCs w:val="24"/>
          <w:lang w:val="en-US" w:bidi="fa-IR"/>
        </w:rPr>
        <w:t>A</w:t>
      </w:r>
      <w:r>
        <w:rPr>
          <w:rFonts w:asciiTheme="majorBidi" w:hAnsiTheme="majorBidi" w:cs="B Mitra"/>
          <w:szCs w:val="24"/>
          <w:lang w:bidi="fa-IR"/>
        </w:rPr>
        <w:t xml:space="preserve">lternative </w:t>
      </w:r>
      <w:r w:rsidRPr="00947AB0">
        <w:rPr>
          <w:rFonts w:asciiTheme="majorBidi" w:hAnsiTheme="majorBidi" w:cs="B Mitra"/>
          <w:szCs w:val="24"/>
          <w:lang w:bidi="fa-IR"/>
        </w:rPr>
        <w:t>:</w:t>
      </w:r>
    </w:p>
    <w:p w14:paraId="3C6E9260" w14:textId="77777777" w:rsidR="00C26532" w:rsidRPr="00947AB0" w:rsidRDefault="00C26532" w:rsidP="00B35459">
      <w:pPr>
        <w:pStyle w:val="EndNoteBibliography"/>
        <w:spacing w:after="0"/>
        <w:ind w:left="720" w:hanging="720"/>
        <w:rPr>
          <w:rFonts w:asciiTheme="majorBidi" w:hAnsiTheme="majorBidi" w:cs="B Mitra"/>
          <w:szCs w:val="24"/>
          <w:lang w:bidi="fa-IR"/>
        </w:rPr>
      </w:pPr>
      <w:r w:rsidRPr="00947AB0">
        <w:rPr>
          <w:rFonts w:asciiTheme="majorBidi" w:hAnsiTheme="majorBidi" w:cs="B Mitra"/>
          <w:szCs w:val="24"/>
          <w:lang w:bidi="fa-IR"/>
        </w:rPr>
        <w:t>Stream 1: RO – SBER</w:t>
      </w:r>
      <w:r w:rsidRPr="00B35459">
        <w:rPr>
          <w:rFonts w:asciiTheme="majorBidi" w:hAnsiTheme="majorBidi" w:cs="B Mitra"/>
          <w:szCs w:val="24"/>
          <w:vertAlign w:val="subscript"/>
          <w:lang w:bidi="fa-IR"/>
        </w:rPr>
        <w:t>S</w:t>
      </w:r>
      <w:r w:rsidRPr="00947AB0">
        <w:rPr>
          <w:rFonts w:asciiTheme="majorBidi" w:hAnsiTheme="majorBidi" w:cs="B Mitra"/>
          <w:szCs w:val="24"/>
          <w:lang w:bidi="fa-IR"/>
        </w:rPr>
        <w:t xml:space="preserve">  and Chemical Percipitation  - Neutralization Mixing (pH Control and complex formation)</w:t>
      </w:r>
    </w:p>
    <w:p w14:paraId="43576A95" w14:textId="139F94E4" w:rsidR="00C26532" w:rsidRDefault="00C26532" w:rsidP="00B35459">
      <w:pPr>
        <w:pStyle w:val="EndNoteBibliography"/>
        <w:spacing w:after="0"/>
        <w:ind w:left="720" w:hanging="720"/>
        <w:rPr>
          <w:rtl/>
          <w:lang w:bidi="fa-IR"/>
        </w:rPr>
      </w:pPr>
      <w:r w:rsidRPr="00947AB0">
        <w:rPr>
          <w:rFonts w:asciiTheme="majorBidi" w:hAnsiTheme="majorBidi" w:cs="B Mitra"/>
          <w:szCs w:val="24"/>
          <w:lang w:bidi="fa-IR"/>
        </w:rPr>
        <w:t>Stream 2: SBER</w:t>
      </w:r>
      <w:r w:rsidRPr="00B35459">
        <w:rPr>
          <w:rFonts w:asciiTheme="majorBidi" w:hAnsiTheme="majorBidi" w:cs="B Mitra"/>
          <w:szCs w:val="24"/>
          <w:vertAlign w:val="subscript"/>
          <w:lang w:bidi="fa-IR"/>
        </w:rPr>
        <w:t>S</w:t>
      </w:r>
      <w:r w:rsidRPr="00947AB0">
        <w:rPr>
          <w:rFonts w:asciiTheme="majorBidi" w:hAnsiTheme="majorBidi" w:cs="B Mitra"/>
          <w:szCs w:val="24"/>
          <w:lang w:bidi="fa-IR"/>
        </w:rPr>
        <w:t xml:space="preserve">  - Neutralization Mixing (pH Control and complex formation)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D4102" w14:textId="77777777" w:rsidR="00C26532" w:rsidRDefault="00C265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EF68C" w14:textId="77777777" w:rsidR="00C26532" w:rsidRDefault="00C265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05DFA" w14:textId="77777777" w:rsidR="00C26532" w:rsidRDefault="00C26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9F0"/>
    <w:multiLevelType w:val="hybridMultilevel"/>
    <w:tmpl w:val="4492F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65E"/>
    <w:multiLevelType w:val="hybridMultilevel"/>
    <w:tmpl w:val="0DE69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9B6"/>
    <w:multiLevelType w:val="hybridMultilevel"/>
    <w:tmpl w:val="DD16440C"/>
    <w:lvl w:ilvl="0" w:tplc="0409000D">
      <w:start w:val="1"/>
      <w:numFmt w:val="bullet"/>
      <w:lvlText w:val=""/>
      <w:lvlJc w:val="left"/>
      <w:pPr>
        <w:ind w:left="8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0F2F3913"/>
    <w:multiLevelType w:val="hybridMultilevel"/>
    <w:tmpl w:val="B20E45AE"/>
    <w:lvl w:ilvl="0" w:tplc="81D2E1FE">
      <w:start w:val="1"/>
      <w:numFmt w:val="decimal"/>
      <w:lvlText w:val="%1."/>
      <w:lvlJc w:val="left"/>
      <w:pPr>
        <w:ind w:left="786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37BC"/>
    <w:multiLevelType w:val="hybridMultilevel"/>
    <w:tmpl w:val="67B4F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7BAE"/>
    <w:multiLevelType w:val="hybridMultilevel"/>
    <w:tmpl w:val="4BE87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E6A64"/>
    <w:multiLevelType w:val="hybridMultilevel"/>
    <w:tmpl w:val="55B8D3FA"/>
    <w:lvl w:ilvl="0" w:tplc="63ECDFCC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E45E83"/>
    <w:multiLevelType w:val="hybridMultilevel"/>
    <w:tmpl w:val="EFC4CB5E"/>
    <w:lvl w:ilvl="0" w:tplc="79F8B54E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46C2"/>
    <w:multiLevelType w:val="hybridMultilevel"/>
    <w:tmpl w:val="92E85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57BC3"/>
    <w:multiLevelType w:val="hybridMultilevel"/>
    <w:tmpl w:val="4372E790"/>
    <w:lvl w:ilvl="0" w:tplc="A2A89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37353"/>
    <w:multiLevelType w:val="hybridMultilevel"/>
    <w:tmpl w:val="B8C87DF2"/>
    <w:lvl w:ilvl="0" w:tplc="B4001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C2E2D"/>
    <w:multiLevelType w:val="hybridMultilevel"/>
    <w:tmpl w:val="3EBAD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277B8"/>
    <w:multiLevelType w:val="hybridMultilevel"/>
    <w:tmpl w:val="138C52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35646"/>
    <w:multiLevelType w:val="hybridMultilevel"/>
    <w:tmpl w:val="7D547788"/>
    <w:lvl w:ilvl="0" w:tplc="F012A24A">
      <w:start w:val="26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2142D"/>
    <w:multiLevelType w:val="hybridMultilevel"/>
    <w:tmpl w:val="CF84B6C6"/>
    <w:lvl w:ilvl="0" w:tplc="984AEB0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E33174"/>
    <w:multiLevelType w:val="hybridMultilevel"/>
    <w:tmpl w:val="C082F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32FCF"/>
    <w:multiLevelType w:val="hybridMultilevel"/>
    <w:tmpl w:val="F7066100"/>
    <w:lvl w:ilvl="0" w:tplc="4C026E6E">
      <w:start w:val="26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C849D1"/>
    <w:multiLevelType w:val="hybridMultilevel"/>
    <w:tmpl w:val="1D7ED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86434"/>
    <w:multiLevelType w:val="hybridMultilevel"/>
    <w:tmpl w:val="C53E7B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A4692"/>
    <w:multiLevelType w:val="hybridMultilevel"/>
    <w:tmpl w:val="04AA5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07142"/>
    <w:multiLevelType w:val="hybridMultilevel"/>
    <w:tmpl w:val="9D3EC6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3"/>
  </w:num>
  <w:num w:numId="5">
    <w:abstractNumId w:val="0"/>
  </w:num>
  <w:num w:numId="6">
    <w:abstractNumId w:val="19"/>
  </w:num>
  <w:num w:numId="7">
    <w:abstractNumId w:val="9"/>
  </w:num>
  <w:num w:numId="8">
    <w:abstractNumId w:val="15"/>
  </w:num>
  <w:num w:numId="9">
    <w:abstractNumId w:val="8"/>
  </w:num>
  <w:num w:numId="10">
    <w:abstractNumId w:val="11"/>
  </w:num>
  <w:num w:numId="11">
    <w:abstractNumId w:val="5"/>
  </w:num>
  <w:num w:numId="12">
    <w:abstractNumId w:val="12"/>
  </w:num>
  <w:num w:numId="13">
    <w:abstractNumId w:val="1"/>
  </w:num>
  <w:num w:numId="14">
    <w:abstractNumId w:val="4"/>
  </w:num>
  <w:num w:numId="15">
    <w:abstractNumId w:val="20"/>
  </w:num>
  <w:num w:numId="16">
    <w:abstractNumId w:val="7"/>
  </w:num>
  <w:num w:numId="17">
    <w:abstractNumId w:val="14"/>
  </w:num>
  <w:num w:numId="18">
    <w:abstractNumId w:val="6"/>
  </w:num>
  <w:num w:numId="19">
    <w:abstractNumId w:val="16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NzW1NLUwtbQwNDBX0lEKTi0uzszPAykwrAUAzhinHywAAAA="/>
  </w:docVars>
  <w:rsids>
    <w:rsidRoot w:val="00990407"/>
    <w:rsid w:val="00000E75"/>
    <w:rsid w:val="000016CC"/>
    <w:rsid w:val="00003AE7"/>
    <w:rsid w:val="00004CF1"/>
    <w:rsid w:val="0001148A"/>
    <w:rsid w:val="00013884"/>
    <w:rsid w:val="000141C8"/>
    <w:rsid w:val="00020F9B"/>
    <w:rsid w:val="000229A2"/>
    <w:rsid w:val="0003058B"/>
    <w:rsid w:val="00030B8A"/>
    <w:rsid w:val="00042F06"/>
    <w:rsid w:val="000510D6"/>
    <w:rsid w:val="000609FB"/>
    <w:rsid w:val="0006565B"/>
    <w:rsid w:val="00067E35"/>
    <w:rsid w:val="00077B90"/>
    <w:rsid w:val="00080A4F"/>
    <w:rsid w:val="000A5BBF"/>
    <w:rsid w:val="000C060D"/>
    <w:rsid w:val="000C1300"/>
    <w:rsid w:val="000C4E2D"/>
    <w:rsid w:val="000D1D89"/>
    <w:rsid w:val="000D7DEE"/>
    <w:rsid w:val="000E2132"/>
    <w:rsid w:val="000F4776"/>
    <w:rsid w:val="001074CD"/>
    <w:rsid w:val="001179F1"/>
    <w:rsid w:val="00134A4A"/>
    <w:rsid w:val="00170517"/>
    <w:rsid w:val="001707FB"/>
    <w:rsid w:val="0017617C"/>
    <w:rsid w:val="001805D5"/>
    <w:rsid w:val="00182547"/>
    <w:rsid w:val="00183F8B"/>
    <w:rsid w:val="001921C3"/>
    <w:rsid w:val="0019631D"/>
    <w:rsid w:val="001C6336"/>
    <w:rsid w:val="001E2CB8"/>
    <w:rsid w:val="001E44B3"/>
    <w:rsid w:val="001E6B42"/>
    <w:rsid w:val="001E7714"/>
    <w:rsid w:val="001F30AF"/>
    <w:rsid w:val="0020192A"/>
    <w:rsid w:val="00210A15"/>
    <w:rsid w:val="002120AE"/>
    <w:rsid w:val="00225300"/>
    <w:rsid w:val="002260C3"/>
    <w:rsid w:val="00234FDF"/>
    <w:rsid w:val="0023521E"/>
    <w:rsid w:val="00277D9A"/>
    <w:rsid w:val="00284B3B"/>
    <w:rsid w:val="002865B2"/>
    <w:rsid w:val="002A2EE3"/>
    <w:rsid w:val="002A4E20"/>
    <w:rsid w:val="002B1F21"/>
    <w:rsid w:val="002B6EC0"/>
    <w:rsid w:val="002C0C91"/>
    <w:rsid w:val="002C25F4"/>
    <w:rsid w:val="002C5570"/>
    <w:rsid w:val="002F20D5"/>
    <w:rsid w:val="00303990"/>
    <w:rsid w:val="00305612"/>
    <w:rsid w:val="00305F58"/>
    <w:rsid w:val="003131D7"/>
    <w:rsid w:val="00313B7B"/>
    <w:rsid w:val="003335FF"/>
    <w:rsid w:val="0033507A"/>
    <w:rsid w:val="00343B8F"/>
    <w:rsid w:val="003469B1"/>
    <w:rsid w:val="00357FD0"/>
    <w:rsid w:val="00361CDE"/>
    <w:rsid w:val="00374BBC"/>
    <w:rsid w:val="003823B9"/>
    <w:rsid w:val="003827FB"/>
    <w:rsid w:val="00386931"/>
    <w:rsid w:val="003877B5"/>
    <w:rsid w:val="003A0BA0"/>
    <w:rsid w:val="003A2449"/>
    <w:rsid w:val="003A6007"/>
    <w:rsid w:val="003A6A1A"/>
    <w:rsid w:val="003B2360"/>
    <w:rsid w:val="003B2530"/>
    <w:rsid w:val="003B6171"/>
    <w:rsid w:val="003C531F"/>
    <w:rsid w:val="003D742C"/>
    <w:rsid w:val="003D7AF1"/>
    <w:rsid w:val="003E31A3"/>
    <w:rsid w:val="003E34F8"/>
    <w:rsid w:val="003F2A11"/>
    <w:rsid w:val="003F520C"/>
    <w:rsid w:val="003F75AF"/>
    <w:rsid w:val="004069E1"/>
    <w:rsid w:val="00407297"/>
    <w:rsid w:val="00417651"/>
    <w:rsid w:val="004316AF"/>
    <w:rsid w:val="00433601"/>
    <w:rsid w:val="004425FB"/>
    <w:rsid w:val="0044686B"/>
    <w:rsid w:val="00451B7C"/>
    <w:rsid w:val="00465CBB"/>
    <w:rsid w:val="00474E9C"/>
    <w:rsid w:val="00474F90"/>
    <w:rsid w:val="00492E83"/>
    <w:rsid w:val="00494BA2"/>
    <w:rsid w:val="0049753B"/>
    <w:rsid w:val="004B6A32"/>
    <w:rsid w:val="004C0448"/>
    <w:rsid w:val="004C529B"/>
    <w:rsid w:val="004D0D4B"/>
    <w:rsid w:val="004D16C2"/>
    <w:rsid w:val="004D3503"/>
    <w:rsid w:val="004E3EDC"/>
    <w:rsid w:val="004E432A"/>
    <w:rsid w:val="004E5E4B"/>
    <w:rsid w:val="004E61B7"/>
    <w:rsid w:val="004F6BC5"/>
    <w:rsid w:val="004F6D2A"/>
    <w:rsid w:val="004F7581"/>
    <w:rsid w:val="0050485C"/>
    <w:rsid w:val="005106FB"/>
    <w:rsid w:val="00525DEE"/>
    <w:rsid w:val="00545D39"/>
    <w:rsid w:val="0054773D"/>
    <w:rsid w:val="005548DD"/>
    <w:rsid w:val="005633DC"/>
    <w:rsid w:val="005730F7"/>
    <w:rsid w:val="005760FA"/>
    <w:rsid w:val="00582A0C"/>
    <w:rsid w:val="0058541C"/>
    <w:rsid w:val="005868D2"/>
    <w:rsid w:val="005926F5"/>
    <w:rsid w:val="00592F04"/>
    <w:rsid w:val="00594127"/>
    <w:rsid w:val="0059539E"/>
    <w:rsid w:val="005A1264"/>
    <w:rsid w:val="005A400D"/>
    <w:rsid w:val="005B46FE"/>
    <w:rsid w:val="005D0BA6"/>
    <w:rsid w:val="005E4BCA"/>
    <w:rsid w:val="005F1C25"/>
    <w:rsid w:val="00602958"/>
    <w:rsid w:val="0060321E"/>
    <w:rsid w:val="006125C1"/>
    <w:rsid w:val="00616423"/>
    <w:rsid w:val="0064723A"/>
    <w:rsid w:val="00657FE9"/>
    <w:rsid w:val="00670C5C"/>
    <w:rsid w:val="00676202"/>
    <w:rsid w:val="006B048B"/>
    <w:rsid w:val="006B43B7"/>
    <w:rsid w:val="006B7503"/>
    <w:rsid w:val="006C5BE9"/>
    <w:rsid w:val="006C79CF"/>
    <w:rsid w:val="006E169F"/>
    <w:rsid w:val="006E44A2"/>
    <w:rsid w:val="00701BF6"/>
    <w:rsid w:val="007032D6"/>
    <w:rsid w:val="007045EE"/>
    <w:rsid w:val="00724CDB"/>
    <w:rsid w:val="00731186"/>
    <w:rsid w:val="007314DB"/>
    <w:rsid w:val="00736224"/>
    <w:rsid w:val="007431A1"/>
    <w:rsid w:val="00744C42"/>
    <w:rsid w:val="00747D22"/>
    <w:rsid w:val="00753B8B"/>
    <w:rsid w:val="00756172"/>
    <w:rsid w:val="0075654B"/>
    <w:rsid w:val="007568A9"/>
    <w:rsid w:val="00764F2E"/>
    <w:rsid w:val="007679DA"/>
    <w:rsid w:val="0077161C"/>
    <w:rsid w:val="00775F42"/>
    <w:rsid w:val="00776B81"/>
    <w:rsid w:val="007770EF"/>
    <w:rsid w:val="00790613"/>
    <w:rsid w:val="007908BC"/>
    <w:rsid w:val="007A26BC"/>
    <w:rsid w:val="007A6FB5"/>
    <w:rsid w:val="007B1ADD"/>
    <w:rsid w:val="007B6705"/>
    <w:rsid w:val="007C0B8C"/>
    <w:rsid w:val="007C2C1B"/>
    <w:rsid w:val="007C66C5"/>
    <w:rsid w:val="007C738F"/>
    <w:rsid w:val="007D1EA5"/>
    <w:rsid w:val="007D2899"/>
    <w:rsid w:val="007E10DC"/>
    <w:rsid w:val="007E31E3"/>
    <w:rsid w:val="007F026D"/>
    <w:rsid w:val="007F0315"/>
    <w:rsid w:val="00802A82"/>
    <w:rsid w:val="0081297E"/>
    <w:rsid w:val="0082047D"/>
    <w:rsid w:val="00824794"/>
    <w:rsid w:val="00825257"/>
    <w:rsid w:val="0083240D"/>
    <w:rsid w:val="00835247"/>
    <w:rsid w:val="00836C4A"/>
    <w:rsid w:val="00842F0A"/>
    <w:rsid w:val="00846CF4"/>
    <w:rsid w:val="00854686"/>
    <w:rsid w:val="00855328"/>
    <w:rsid w:val="00856DC1"/>
    <w:rsid w:val="00860035"/>
    <w:rsid w:val="0086313C"/>
    <w:rsid w:val="0088013C"/>
    <w:rsid w:val="008A6139"/>
    <w:rsid w:val="008B0241"/>
    <w:rsid w:val="008B315C"/>
    <w:rsid w:val="008B4680"/>
    <w:rsid w:val="008B4D12"/>
    <w:rsid w:val="008B5FB9"/>
    <w:rsid w:val="008D4888"/>
    <w:rsid w:val="008D7753"/>
    <w:rsid w:val="008E23D3"/>
    <w:rsid w:val="008F3D4B"/>
    <w:rsid w:val="008F4040"/>
    <w:rsid w:val="0090463D"/>
    <w:rsid w:val="0090752B"/>
    <w:rsid w:val="00910ACC"/>
    <w:rsid w:val="00914CCF"/>
    <w:rsid w:val="00921411"/>
    <w:rsid w:val="00921A2F"/>
    <w:rsid w:val="00921DED"/>
    <w:rsid w:val="00924DBE"/>
    <w:rsid w:val="00930772"/>
    <w:rsid w:val="0093642F"/>
    <w:rsid w:val="00947A54"/>
    <w:rsid w:val="00947AB0"/>
    <w:rsid w:val="00947D5B"/>
    <w:rsid w:val="00973493"/>
    <w:rsid w:val="009849C1"/>
    <w:rsid w:val="00990407"/>
    <w:rsid w:val="009A19EF"/>
    <w:rsid w:val="009A2478"/>
    <w:rsid w:val="009A3407"/>
    <w:rsid w:val="009A6C24"/>
    <w:rsid w:val="009E1BD7"/>
    <w:rsid w:val="009E2803"/>
    <w:rsid w:val="009E4D7C"/>
    <w:rsid w:val="009F2025"/>
    <w:rsid w:val="00A05B8C"/>
    <w:rsid w:val="00A16DF5"/>
    <w:rsid w:val="00A17964"/>
    <w:rsid w:val="00A36D1D"/>
    <w:rsid w:val="00A37B7A"/>
    <w:rsid w:val="00A37FA8"/>
    <w:rsid w:val="00A40008"/>
    <w:rsid w:val="00A4723C"/>
    <w:rsid w:val="00A54478"/>
    <w:rsid w:val="00A55246"/>
    <w:rsid w:val="00A7665F"/>
    <w:rsid w:val="00AB670F"/>
    <w:rsid w:val="00AB77A8"/>
    <w:rsid w:val="00AB788C"/>
    <w:rsid w:val="00AC6BF6"/>
    <w:rsid w:val="00AD3C25"/>
    <w:rsid w:val="00AE6C03"/>
    <w:rsid w:val="00B011ED"/>
    <w:rsid w:val="00B17AB8"/>
    <w:rsid w:val="00B3373D"/>
    <w:rsid w:val="00B33890"/>
    <w:rsid w:val="00B35459"/>
    <w:rsid w:val="00B47388"/>
    <w:rsid w:val="00B511FE"/>
    <w:rsid w:val="00B81DFC"/>
    <w:rsid w:val="00B841EE"/>
    <w:rsid w:val="00B86000"/>
    <w:rsid w:val="00B867ED"/>
    <w:rsid w:val="00B94F18"/>
    <w:rsid w:val="00B95F25"/>
    <w:rsid w:val="00BA098C"/>
    <w:rsid w:val="00BA6DFF"/>
    <w:rsid w:val="00BB055E"/>
    <w:rsid w:val="00BB4A5D"/>
    <w:rsid w:val="00BB5EE6"/>
    <w:rsid w:val="00BC3A79"/>
    <w:rsid w:val="00BD7FB0"/>
    <w:rsid w:val="00C01858"/>
    <w:rsid w:val="00C024DE"/>
    <w:rsid w:val="00C03105"/>
    <w:rsid w:val="00C11CB5"/>
    <w:rsid w:val="00C26532"/>
    <w:rsid w:val="00C27302"/>
    <w:rsid w:val="00C41AFF"/>
    <w:rsid w:val="00C43981"/>
    <w:rsid w:val="00C52AC0"/>
    <w:rsid w:val="00C5348C"/>
    <w:rsid w:val="00C5476C"/>
    <w:rsid w:val="00C61982"/>
    <w:rsid w:val="00C63BA7"/>
    <w:rsid w:val="00C86469"/>
    <w:rsid w:val="00C93995"/>
    <w:rsid w:val="00CB004E"/>
    <w:rsid w:val="00CB5DEA"/>
    <w:rsid w:val="00CC54BC"/>
    <w:rsid w:val="00CD153D"/>
    <w:rsid w:val="00CD71DC"/>
    <w:rsid w:val="00CE4689"/>
    <w:rsid w:val="00CF04FB"/>
    <w:rsid w:val="00CF59EC"/>
    <w:rsid w:val="00D01E98"/>
    <w:rsid w:val="00D20AEB"/>
    <w:rsid w:val="00D346EB"/>
    <w:rsid w:val="00D412AF"/>
    <w:rsid w:val="00D423CA"/>
    <w:rsid w:val="00D4782F"/>
    <w:rsid w:val="00D65463"/>
    <w:rsid w:val="00D76BA0"/>
    <w:rsid w:val="00D90001"/>
    <w:rsid w:val="00D9090A"/>
    <w:rsid w:val="00D914BB"/>
    <w:rsid w:val="00DA0D97"/>
    <w:rsid w:val="00DB036E"/>
    <w:rsid w:val="00DC4A5E"/>
    <w:rsid w:val="00DD6073"/>
    <w:rsid w:val="00DE7BAE"/>
    <w:rsid w:val="00DF16BD"/>
    <w:rsid w:val="00DF2BC8"/>
    <w:rsid w:val="00DF2C44"/>
    <w:rsid w:val="00DF34D5"/>
    <w:rsid w:val="00DF54DE"/>
    <w:rsid w:val="00E02C6A"/>
    <w:rsid w:val="00E07BE7"/>
    <w:rsid w:val="00E13863"/>
    <w:rsid w:val="00E236A2"/>
    <w:rsid w:val="00E34EB7"/>
    <w:rsid w:val="00E53A18"/>
    <w:rsid w:val="00E55C81"/>
    <w:rsid w:val="00E56762"/>
    <w:rsid w:val="00E57F8E"/>
    <w:rsid w:val="00E62280"/>
    <w:rsid w:val="00E72325"/>
    <w:rsid w:val="00E74895"/>
    <w:rsid w:val="00E7732E"/>
    <w:rsid w:val="00E837FB"/>
    <w:rsid w:val="00E8558F"/>
    <w:rsid w:val="00E957BE"/>
    <w:rsid w:val="00EB38C9"/>
    <w:rsid w:val="00EC33AD"/>
    <w:rsid w:val="00EC6446"/>
    <w:rsid w:val="00EC6CBA"/>
    <w:rsid w:val="00ED2842"/>
    <w:rsid w:val="00ED54B7"/>
    <w:rsid w:val="00EE43E0"/>
    <w:rsid w:val="00EF03F2"/>
    <w:rsid w:val="00EF0DC2"/>
    <w:rsid w:val="00EF6215"/>
    <w:rsid w:val="00F015CE"/>
    <w:rsid w:val="00F03AD5"/>
    <w:rsid w:val="00F04525"/>
    <w:rsid w:val="00F210C4"/>
    <w:rsid w:val="00F214B3"/>
    <w:rsid w:val="00F30D98"/>
    <w:rsid w:val="00F45938"/>
    <w:rsid w:val="00F46D75"/>
    <w:rsid w:val="00F53B4E"/>
    <w:rsid w:val="00F60C93"/>
    <w:rsid w:val="00F82757"/>
    <w:rsid w:val="00F87332"/>
    <w:rsid w:val="00F93CAE"/>
    <w:rsid w:val="00F97C1B"/>
    <w:rsid w:val="00FB1371"/>
    <w:rsid w:val="00FB36A1"/>
    <w:rsid w:val="00FC0DC0"/>
    <w:rsid w:val="00FC1FCD"/>
    <w:rsid w:val="00FC5374"/>
    <w:rsid w:val="00FC74EA"/>
    <w:rsid w:val="00FD6FA3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/"/>
  <w:listSeparator w:val="؛"/>
  <w14:docId w14:val="35E5F5D1"/>
  <w15:docId w15:val="{DCD4697F-4159-4EA8-8578-5BD3572E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407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E9C"/>
    <w:pPr>
      <w:ind w:left="720"/>
      <w:contextualSpacing/>
    </w:pPr>
  </w:style>
  <w:style w:type="table" w:styleId="TableGrid">
    <w:name w:val="Table Grid"/>
    <w:basedOn w:val="TableNormal"/>
    <w:uiPriority w:val="59"/>
    <w:rsid w:val="005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7679DA"/>
  </w:style>
  <w:style w:type="character" w:styleId="Hyperlink">
    <w:name w:val="Hyperlink"/>
    <w:basedOn w:val="DefaultParagraphFont"/>
    <w:uiPriority w:val="99"/>
    <w:unhideWhenUsed/>
    <w:rsid w:val="008B024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849C1"/>
    <w:rPr>
      <w:i/>
      <w:iCs/>
    </w:rPr>
  </w:style>
  <w:style w:type="paragraph" w:styleId="Revision">
    <w:name w:val="Revision"/>
    <w:hidden/>
    <w:uiPriority w:val="99"/>
    <w:semiHidden/>
    <w:rsid w:val="009307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0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7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72"/>
  </w:style>
  <w:style w:type="paragraph" w:styleId="Footer">
    <w:name w:val="footer"/>
    <w:basedOn w:val="Normal"/>
    <w:link w:val="FooterChar"/>
    <w:uiPriority w:val="99"/>
    <w:unhideWhenUsed/>
    <w:rsid w:val="0093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72"/>
  </w:style>
  <w:style w:type="paragraph" w:styleId="BalloonText">
    <w:name w:val="Balloon Text"/>
    <w:basedOn w:val="Normal"/>
    <w:link w:val="BalloonTextChar"/>
    <w:uiPriority w:val="99"/>
    <w:semiHidden/>
    <w:unhideWhenUsed/>
    <w:rsid w:val="009E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7C"/>
    <w:rPr>
      <w:rFonts w:ascii="Segoe UI" w:hAnsi="Segoe UI" w:cs="Segoe UI"/>
      <w:sz w:val="18"/>
      <w:szCs w:val="18"/>
    </w:rPr>
  </w:style>
  <w:style w:type="character" w:customStyle="1" w:styleId="muxgbd">
    <w:name w:val="muxgbd"/>
    <w:basedOn w:val="DefaultParagraphFont"/>
    <w:rsid w:val="0006565B"/>
  </w:style>
  <w:style w:type="character" w:styleId="Strong">
    <w:name w:val="Strong"/>
    <w:basedOn w:val="DefaultParagraphFont"/>
    <w:uiPriority w:val="22"/>
    <w:qFormat/>
    <w:rsid w:val="00921DE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92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5F1C2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361CD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1CD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361CDE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361CDE"/>
    <w:pPr>
      <w:spacing w:after="160" w:line="240" w:lineRule="auto"/>
    </w:pPr>
    <w:rPr>
      <w:rFonts w:ascii="Calibri" w:eastAsia="Calibri" w:hAnsi="Calibri" w:cs="Times New Roman"/>
      <w:noProof/>
      <w:sz w:val="20"/>
      <w:szCs w:val="20"/>
      <w:lang w:val="x-none" w:eastAsia="x-none"/>
    </w:rPr>
  </w:style>
  <w:style w:type="character" w:customStyle="1" w:styleId="EndNoteBibliographyChar">
    <w:name w:val="EndNote Bibliography Char"/>
    <w:link w:val="EndNoteBibliography"/>
    <w:rsid w:val="00361CDE"/>
    <w:rPr>
      <w:rFonts w:ascii="Calibri" w:eastAsia="Calibri" w:hAnsi="Calibri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85FCF-0F4C-471A-B66E-8C69EF34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Mojtaba Ahmad Khan</dc:creator>
  <cp:lastModifiedBy>majale office</cp:lastModifiedBy>
  <cp:revision>2</cp:revision>
  <dcterms:created xsi:type="dcterms:W3CDTF">2023-05-08T06:51:00Z</dcterms:created>
  <dcterms:modified xsi:type="dcterms:W3CDTF">2023-05-08T06:51:00Z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78ba195bfeea1f128709d72cef4b33430d1ce9d11aa772d2dddeaf9c9f8352a8</vt:lpwstr>
  </property>
</Properties>
</file>